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64D" w:rsidRDefault="007D264D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 w:hint="eastAsia"/>
          <w:kern w:val="21"/>
          <w:sz w:val="52"/>
          <w:szCs w:val="52"/>
        </w:rPr>
      </w:pPr>
    </w:p>
    <w:p w:rsidR="007D264D" w:rsidRDefault="00C93681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7D264D" w:rsidRDefault="00C93681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379730</wp:posOffset>
                </wp:positionV>
                <wp:extent cx="5173345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.5pt;margin-top:29.9pt;height:0pt;width:407.35pt;z-index:251662336;mso-width-relative:page;mso-height-relative:page;" filled="f" stroked="t" coordsize="21600,21600" o:gfxdata="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bveVu1QAAAAgB&#10;AAAPAAAAAAAAAAEAIAAAACIAAABkcnMvZG93bnJldi54bWxQSwECFAAUAAAACACHTuJA4/oDFuUB&#10;AACxAwAADgAAAAAAAAABACAAAAAk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 w:hAnsi="黑体" w:cs="宋体"/>
          <w:sz w:val="28"/>
          <w:szCs w:val="28"/>
        </w:rPr>
        <w:t xml:space="preserve"> 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5410A2">
        <w:rPr>
          <w:rFonts w:ascii="黑体" w:eastAsia="黑体" w:hAnsi="黑体" w:cs="宋体" w:hint="eastAsia"/>
          <w:sz w:val="28"/>
          <w:szCs w:val="28"/>
        </w:rPr>
        <w:t>357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 w:rsidR="009659A0">
        <w:rPr>
          <w:rFonts w:ascii="黑体" w:eastAsia="黑体" w:hAnsi="黑体" w:cs="宋体" w:hint="eastAsia"/>
          <w:sz w:val="28"/>
          <w:szCs w:val="28"/>
        </w:rPr>
        <w:t>26</w:t>
      </w:r>
    </w:p>
    <w:p w:rsidR="007D264D" w:rsidRDefault="007D264D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:rsidR="007D264D" w:rsidRDefault="007D264D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7D264D" w:rsidRDefault="007D264D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7D264D" w:rsidRDefault="007D264D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7D264D" w:rsidRDefault="007D264D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7D264D" w:rsidRDefault="00C93681" w:rsidP="009659A0">
      <w:pPr>
        <w:pStyle w:val="10"/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东北地区</w:t>
      </w:r>
    </w:p>
    <w:p w:rsidR="007D264D" w:rsidRDefault="00C93681" w:rsidP="009659A0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  <w:r>
        <w:rPr>
          <w:rFonts w:ascii="黑体" w:eastAsia="黑体" w:hAnsi="黑体" w:hint="eastAsia"/>
          <w:sz w:val="48"/>
          <w:szCs w:val="48"/>
        </w:rPr>
        <w:t>绿色食品</w:t>
      </w:r>
      <w:proofErr w:type="gramStart"/>
      <w:r>
        <w:rPr>
          <w:rFonts w:ascii="黑体" w:eastAsia="黑体" w:hAnsi="黑体" w:cs="宋体" w:hint="eastAsia"/>
          <w:sz w:val="48"/>
          <w:szCs w:val="48"/>
        </w:rPr>
        <w:t>露地油</w:t>
      </w:r>
      <w:proofErr w:type="gramEnd"/>
      <w:r>
        <w:rPr>
          <w:rFonts w:ascii="黑体" w:eastAsia="黑体" w:hAnsi="黑体" w:cs="宋体" w:hint="eastAsia"/>
          <w:sz w:val="48"/>
          <w:szCs w:val="48"/>
        </w:rPr>
        <w:t>豆角</w:t>
      </w:r>
      <w:r>
        <w:rPr>
          <w:rFonts w:ascii="黑体" w:eastAsia="黑体" w:hAnsi="黑体" w:hint="eastAsia"/>
          <w:sz w:val="48"/>
          <w:szCs w:val="48"/>
        </w:rPr>
        <w:t>生产操作规程</w:t>
      </w:r>
    </w:p>
    <w:p w:rsidR="007D264D" w:rsidRDefault="007D264D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7D264D" w:rsidRDefault="007D264D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7D264D" w:rsidRDefault="007D264D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9659A0" w:rsidRDefault="009659A0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9659A0" w:rsidRDefault="009659A0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7D264D" w:rsidRDefault="007D264D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7D264D" w:rsidRDefault="009659A0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bookmarkStart w:id="0" w:name="_GoBack"/>
      <w:r>
        <w:rPr>
          <w:rFonts w:ascii="黑体" w:eastAsia="黑体" w:hAnsi="黑体"/>
          <w:sz w:val="28"/>
          <w:szCs w:val="28"/>
        </w:rPr>
        <w:t>2026</w:t>
      </w:r>
      <w:r w:rsidR="002B2F5F">
        <w:rPr>
          <w:rFonts w:ascii="黑体" w:eastAsia="黑体" w:hAnsi="黑体"/>
          <w:sz w:val="28"/>
          <w:szCs w:val="28"/>
        </w:rPr>
        <w:t>-</w:t>
      </w:r>
      <w:r w:rsidR="002B2F5F">
        <w:rPr>
          <w:rFonts w:ascii="黑体" w:eastAsia="黑体" w:hAnsi="黑体" w:hint="eastAsia"/>
          <w:sz w:val="28"/>
          <w:szCs w:val="28"/>
        </w:rPr>
        <w:t>04</w:t>
      </w:r>
      <w:r w:rsidR="002B2F5F">
        <w:rPr>
          <w:rFonts w:ascii="黑体" w:eastAsia="黑体" w:hAnsi="黑体"/>
          <w:sz w:val="28"/>
          <w:szCs w:val="28"/>
        </w:rPr>
        <w:t>-</w:t>
      </w:r>
      <w:r w:rsidR="002B2F5F">
        <w:rPr>
          <w:rFonts w:ascii="黑体" w:eastAsia="黑体" w:hAnsi="黑体" w:hint="eastAsia"/>
          <w:sz w:val="28"/>
          <w:szCs w:val="28"/>
        </w:rPr>
        <w:t>07</w:t>
      </w:r>
      <w:r w:rsidR="00C93681">
        <w:rPr>
          <w:rFonts w:ascii="黑体" w:eastAsia="黑体" w:hAnsi="黑体" w:cs="黑体" w:hint="eastAsia"/>
          <w:bCs/>
          <w:sz w:val="28"/>
          <w:szCs w:val="28"/>
        </w:rPr>
        <w:t>发布</w:t>
      </w:r>
      <w:r w:rsidR="00C93681">
        <w:rPr>
          <w:b/>
          <w:sz w:val="28"/>
          <w:szCs w:val="28"/>
        </w:rPr>
        <w:t xml:space="preserve">              </w:t>
      </w:r>
      <w:r w:rsidR="002B2F5F">
        <w:rPr>
          <w:rFonts w:hint="eastAsia"/>
          <w:b/>
          <w:sz w:val="28"/>
          <w:szCs w:val="28"/>
        </w:rPr>
        <w:t xml:space="preserve">           </w:t>
      </w:r>
      <w:r w:rsidR="00C93681">
        <w:rPr>
          <w:b/>
          <w:sz w:val="28"/>
          <w:szCs w:val="28"/>
        </w:rPr>
        <w:t xml:space="preserve">     </w:t>
      </w:r>
      <w:r w:rsidR="00C93681">
        <w:rPr>
          <w:rFonts w:ascii="黑体" w:eastAsia="黑体" w:hAnsi="黑体" w:cs="宋体" w:hint="eastAsia"/>
          <w:sz w:val="28"/>
          <w:szCs w:val="28"/>
        </w:rPr>
        <w:t>20</w:t>
      </w:r>
      <w:r>
        <w:rPr>
          <w:rFonts w:ascii="黑体" w:eastAsia="黑体" w:hAnsi="黑体" w:cs="宋体" w:hint="eastAsia"/>
          <w:sz w:val="28"/>
          <w:szCs w:val="28"/>
        </w:rPr>
        <w:t>26</w:t>
      </w:r>
      <w:r w:rsidR="00C93681">
        <w:rPr>
          <w:rFonts w:ascii="黑体" w:eastAsia="黑体" w:hAnsi="黑体" w:cs="宋体" w:hint="eastAsia"/>
          <w:sz w:val="28"/>
          <w:szCs w:val="28"/>
        </w:rPr>
        <w:t>-</w:t>
      </w:r>
      <w:r w:rsidR="002B2F5F">
        <w:rPr>
          <w:rFonts w:ascii="黑体" w:eastAsia="黑体" w:hAnsi="黑体" w:cs="宋体" w:hint="eastAsia"/>
          <w:sz w:val="28"/>
          <w:szCs w:val="28"/>
        </w:rPr>
        <w:t>05</w:t>
      </w:r>
      <w:r w:rsidR="00C93681">
        <w:rPr>
          <w:rFonts w:ascii="黑体" w:eastAsia="黑体" w:hAnsi="黑体" w:cs="宋体" w:hint="eastAsia"/>
          <w:sz w:val="28"/>
          <w:szCs w:val="28"/>
        </w:rPr>
        <w:t>-</w:t>
      </w:r>
      <w:r w:rsidR="002B2F5F">
        <w:rPr>
          <w:rFonts w:ascii="黑体" w:eastAsia="黑体" w:hAnsi="黑体" w:cs="宋体" w:hint="eastAsia"/>
          <w:sz w:val="28"/>
          <w:szCs w:val="28"/>
        </w:rPr>
        <w:t>01</w:t>
      </w:r>
      <w:r w:rsidR="00C93681">
        <w:rPr>
          <w:rFonts w:ascii="黑体" w:eastAsia="黑体" w:hAnsi="黑体" w:cs="黑体" w:hint="eastAsia"/>
          <w:bCs/>
          <w:sz w:val="28"/>
          <w:szCs w:val="28"/>
        </w:rPr>
        <w:t>实施</w:t>
      </w:r>
      <w:bookmarkEnd w:id="0"/>
    </w:p>
    <w:p w:rsidR="007D264D" w:rsidRDefault="00C93681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26035</wp:posOffset>
                </wp:positionV>
                <wp:extent cx="53721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3pt;margin-top:2.05pt;height:0pt;width:423pt;z-index:251661312;mso-width-relative:page;mso-height-relative:page;" filled="f" stroked="t" coordsize="21600,21600" o:gfxdata="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jumDtMAAAAGAQAADwAA&#10;AAAAAAABACAAAAAiAAAAZHJzL2Rvd25yZXYueG1sUEsBAhQAFAAAAAgAh07iQDrZruniAQAAsQMA&#10;AA4AAAAAAAAAAQAgAAAAIg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60288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OUs8u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59264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M3wCt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r>
        <w:rPr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:rsidR="007D264D" w:rsidRDefault="007D264D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7D264D">
          <w:headerReference w:type="even" r:id="rId8"/>
          <w:headerReference w:type="default" r:id="rId9"/>
          <w:headerReference w:type="first" r:id="rId10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:rsidR="007D264D" w:rsidRDefault="007D264D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7D264D" w:rsidRDefault="00C93681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:rsidR="007D264D" w:rsidRDefault="007D264D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:rsidR="007D264D" w:rsidRDefault="00C93681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7D264D" w:rsidRDefault="00C93681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本文件起草单位：黑龙江省绿色食品发展中心、</w:t>
      </w:r>
      <w:r>
        <w:rPr>
          <w:rFonts w:ascii="宋体" w:hAnsi="宋体" w:cs="宋体"/>
        </w:rPr>
        <w:t>中国绿色食品发展中心</w:t>
      </w:r>
      <w:r>
        <w:rPr>
          <w:rFonts w:ascii="宋体" w:hAnsi="宋体" w:cs="宋体" w:hint="eastAsia"/>
        </w:rPr>
        <w:t>、黑龙江大学、内蒙古自治区农畜产品质量安全中心、辽宁省绿色食品发展中心、吉林省绿色食品办公室。</w:t>
      </w:r>
    </w:p>
    <w:p w:rsidR="007D264D" w:rsidRDefault="00C93681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本文件主要起草人：杨成刚、刘大军、</w:t>
      </w:r>
      <w:r w:rsidR="00DD6C1C">
        <w:rPr>
          <w:rFonts w:ascii="宋体" w:hAnsi="宋体" w:cs="宋体" w:hint="eastAsia"/>
        </w:rPr>
        <w:t>宋晓</w:t>
      </w:r>
      <w:r w:rsidR="00DD6C1C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宋妍茹、冀佳彤、卓超、罗淳钰、崔佳欣、陈曦、冯国军</w:t>
      </w:r>
      <w:r w:rsidR="00DD6C1C">
        <w:rPr>
          <w:rFonts w:ascii="宋体" w:hAnsi="宋体" w:cs="宋体" w:hint="eastAsia"/>
        </w:rPr>
        <w:t>、张宪</w:t>
      </w:r>
      <w:r>
        <w:rPr>
          <w:rFonts w:ascii="宋体" w:hAnsi="宋体" w:cs="宋体" w:hint="eastAsia"/>
        </w:rPr>
        <w:t>、刘畅、杨晓旭、郭海艳、赵湘凝、张泰峰、闫志山、田芳、李宝娜、郭琳、徐延驰、潘鹏。</w:t>
      </w:r>
    </w:p>
    <w:p w:rsidR="007D264D" w:rsidRDefault="007D264D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7D264D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:rsidR="007D264D" w:rsidRDefault="007D264D">
      <w:pPr>
        <w:adjustRightInd w:val="0"/>
        <w:snapToGrid w:val="0"/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7D264D" w:rsidRDefault="00C93681" w:rsidP="008460C1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东北地区</w:t>
      </w:r>
      <w:r w:rsidR="008460C1">
        <w:rPr>
          <w:rFonts w:ascii="Times New Roman" w:eastAsia="黑体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黑体" w:hAnsi="Times New Roman" w:cs="Times New Roman" w:hint="eastAsia"/>
          <w:sz w:val="32"/>
          <w:szCs w:val="32"/>
        </w:rPr>
        <w:t>绿色食品</w:t>
      </w:r>
      <w:proofErr w:type="gramStart"/>
      <w:r>
        <w:rPr>
          <w:rFonts w:ascii="Times New Roman" w:eastAsia="黑体" w:hAnsi="Times New Roman" w:cs="Times New Roman" w:hint="eastAsia"/>
          <w:sz w:val="32"/>
          <w:szCs w:val="32"/>
        </w:rPr>
        <w:t>露地油</w:t>
      </w:r>
      <w:proofErr w:type="gramEnd"/>
      <w:r>
        <w:rPr>
          <w:rFonts w:ascii="Times New Roman" w:eastAsia="黑体" w:hAnsi="Times New Roman" w:cs="Times New Roman" w:hint="eastAsia"/>
          <w:sz w:val="32"/>
          <w:szCs w:val="32"/>
        </w:rPr>
        <w:t>豆角生产</w:t>
      </w:r>
      <w:r>
        <w:rPr>
          <w:rFonts w:ascii="Times New Roman" w:eastAsia="黑体" w:hAnsi="Times New Roman" w:cs="Times New Roman"/>
          <w:sz w:val="32"/>
          <w:szCs w:val="32"/>
        </w:rPr>
        <w:t>操作规程</w:t>
      </w:r>
    </w:p>
    <w:p w:rsidR="007D264D" w:rsidRDefault="007D264D">
      <w:pPr>
        <w:pStyle w:val="a5"/>
        <w:ind w:firstLineChars="0" w:firstLine="0"/>
        <w:jc w:val="center"/>
        <w:rPr>
          <w:rFonts w:eastAsia="黑体" w:cs="Times New Roman"/>
          <w:sz w:val="32"/>
          <w:szCs w:val="32"/>
        </w:rPr>
      </w:pPr>
    </w:p>
    <w:p w:rsidR="007D264D" w:rsidRDefault="00C93681">
      <w:pPr>
        <w:pStyle w:val="1"/>
        <w:adjustRightInd w:val="0"/>
        <w:snapToGrid w:val="0"/>
      </w:pPr>
      <w:r>
        <w:t>1 范围</w:t>
      </w:r>
    </w:p>
    <w:p w:rsidR="007D264D" w:rsidRDefault="00C93681">
      <w:pPr>
        <w:pStyle w:val="a5"/>
        <w:ind w:firstLine="420"/>
        <w:rPr>
          <w:rFonts w:ascii="宋体" w:hAnsi="宋体"/>
        </w:rPr>
      </w:pPr>
      <w:r>
        <w:rPr>
          <w:rFonts w:hint="eastAsia"/>
          <w:lang w:val="en-US" w:eastAsia="zh-CN" w:bidi="ar"/>
        </w:rPr>
        <w:t>本文件规定了</w:t>
      </w:r>
      <w:r>
        <w:rPr>
          <w:rFonts w:ascii="宋体" w:hAnsi="宋体" w:hint="eastAsia"/>
          <w:lang w:eastAsia="zh-CN"/>
        </w:rPr>
        <w:t>东北地区</w:t>
      </w:r>
      <w:r>
        <w:rPr>
          <w:rFonts w:ascii="宋体" w:hAnsi="宋体" w:hint="eastAsia"/>
        </w:rPr>
        <w:t>绿色食品</w:t>
      </w:r>
      <w:r>
        <w:rPr>
          <w:rFonts w:ascii="宋体" w:hAnsi="宋体" w:hint="eastAsia"/>
          <w:lang w:eastAsia="zh-CN"/>
        </w:rPr>
        <w:t>油豆角</w:t>
      </w:r>
      <w:r>
        <w:rPr>
          <w:rFonts w:ascii="宋体" w:hAnsi="宋体" w:hint="eastAsia"/>
        </w:rPr>
        <w:t>的产地环境、品种选择、整地施肥、播种、田间管理、病虫</w:t>
      </w:r>
      <w:r>
        <w:rPr>
          <w:rFonts w:ascii="宋体" w:hAnsi="宋体" w:hint="eastAsia"/>
          <w:lang w:eastAsia="zh-CN"/>
        </w:rPr>
        <w:t>草</w:t>
      </w:r>
      <w:r>
        <w:rPr>
          <w:rFonts w:ascii="宋体" w:hAnsi="宋体" w:hint="eastAsia"/>
        </w:rPr>
        <w:t>害防治、采收、生产废弃物的处理、储藏与运输、生产档案管理。</w:t>
      </w:r>
    </w:p>
    <w:p w:rsidR="007D264D" w:rsidRDefault="00C93681">
      <w:pPr>
        <w:pStyle w:val="a5"/>
        <w:ind w:firstLine="420"/>
        <w:rPr>
          <w:rFonts w:ascii="宋体" w:hAnsi="宋体"/>
        </w:rPr>
      </w:pPr>
      <w:r>
        <w:rPr>
          <w:rFonts w:hint="eastAsia"/>
          <w:lang w:val="en-US" w:eastAsia="zh-CN" w:bidi="ar"/>
        </w:rPr>
        <w:t>本</w:t>
      </w:r>
      <w:r w:rsidR="00DD6C1C">
        <w:rPr>
          <w:rFonts w:hint="eastAsia"/>
          <w:lang w:val="en-US" w:eastAsia="zh-CN" w:bidi="ar"/>
        </w:rPr>
        <w:t>文件</w:t>
      </w:r>
      <w:r>
        <w:rPr>
          <w:rFonts w:hint="eastAsia"/>
          <w:lang w:val="en-US" w:eastAsia="zh-CN" w:bidi="ar"/>
        </w:rPr>
        <w:t>适用于</w:t>
      </w:r>
      <w:r>
        <w:rPr>
          <w:rFonts w:ascii="宋体" w:hAnsi="宋体" w:hint="eastAsia"/>
        </w:rPr>
        <w:t>内蒙古</w:t>
      </w:r>
      <w:r w:rsidR="006A4FBF">
        <w:rPr>
          <w:rFonts w:ascii="宋体" w:hAnsi="宋体" w:hint="eastAsia"/>
          <w:lang w:eastAsia="zh-CN"/>
        </w:rPr>
        <w:t>东部</w:t>
      </w:r>
      <w:r>
        <w:rPr>
          <w:rFonts w:ascii="宋体" w:hAnsi="宋体" w:hint="eastAsia"/>
        </w:rPr>
        <w:t>、辽宁、吉林</w:t>
      </w:r>
      <w:r>
        <w:rPr>
          <w:rFonts w:ascii="宋体" w:hAnsi="宋体" w:hint="eastAsia"/>
          <w:lang w:eastAsia="zh-CN"/>
        </w:rPr>
        <w:t>和</w:t>
      </w:r>
      <w:r>
        <w:rPr>
          <w:rFonts w:ascii="宋体" w:hAnsi="宋体" w:hint="eastAsia"/>
        </w:rPr>
        <w:t>黑龙江地区的绿色食品</w:t>
      </w:r>
      <w:proofErr w:type="gramStart"/>
      <w:r>
        <w:rPr>
          <w:rFonts w:ascii="宋体" w:hAnsi="宋体" w:hint="eastAsia"/>
          <w:lang w:eastAsia="zh-CN"/>
        </w:rPr>
        <w:t>露地油</w:t>
      </w:r>
      <w:proofErr w:type="gramEnd"/>
      <w:r>
        <w:rPr>
          <w:rFonts w:ascii="宋体" w:hAnsi="宋体" w:hint="eastAsia"/>
          <w:lang w:eastAsia="zh-CN"/>
        </w:rPr>
        <w:t>豆角</w:t>
      </w:r>
      <w:r>
        <w:rPr>
          <w:rFonts w:ascii="宋体" w:hAnsi="宋体" w:hint="eastAsia"/>
        </w:rPr>
        <w:t>的生产。</w:t>
      </w:r>
    </w:p>
    <w:p w:rsidR="007D264D" w:rsidRDefault="00C93681">
      <w:pPr>
        <w:pStyle w:val="1"/>
        <w:adjustRightInd w:val="0"/>
        <w:snapToGrid w:val="0"/>
      </w:pPr>
      <w:bookmarkStart w:id="1" w:name="OLE_LINK1"/>
      <w:bookmarkStart w:id="2" w:name="OLE_LINK2"/>
      <w:r>
        <w:t>2 规范性引用文件</w:t>
      </w:r>
      <w:bookmarkEnd w:id="1"/>
      <w:bookmarkEnd w:id="2"/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lang w:val="en-US" w:eastAsia="zh-CN"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7718  </w:t>
      </w:r>
      <w:r>
        <w:rPr>
          <w:rFonts w:hint="eastAsia"/>
          <w:lang w:val="en-US" w:eastAsia="zh-CN" w:bidi="ar"/>
        </w:rPr>
        <w:t>食品安全国家标准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预包装食品标签通则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13735  </w:t>
      </w:r>
      <w:r>
        <w:rPr>
          <w:rFonts w:hint="eastAsia"/>
          <w:lang w:val="en-US" w:eastAsia="zh-CN" w:bidi="ar"/>
        </w:rPr>
        <w:t>聚乙烯吹塑农用地面覆盖薄膜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391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产地环境质量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393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农药使用准则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394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肥料使用准则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658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包装通用准则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747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瓜类蔬菜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1056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储藏运输准则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1655  </w:t>
      </w:r>
      <w:r>
        <w:rPr>
          <w:rFonts w:hint="eastAsia"/>
          <w:lang w:val="en-US" w:eastAsia="zh-CN" w:bidi="ar"/>
        </w:rPr>
        <w:t>蔬菜包装标识通用准则</w:t>
      </w:r>
    </w:p>
    <w:p w:rsidR="007D264D" w:rsidRDefault="00C93681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3697  </w:t>
      </w:r>
      <w:r>
        <w:rPr>
          <w:rFonts w:hint="eastAsia"/>
          <w:lang w:val="en-US" w:eastAsia="zh-CN" w:bidi="ar"/>
        </w:rPr>
        <w:t>农用诱虫灯应用技术规范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3 产地环境</w:t>
      </w:r>
    </w:p>
    <w:p w:rsidR="007D264D" w:rsidRDefault="00C93681">
      <w:pPr>
        <w:pStyle w:val="a5"/>
        <w:ind w:firstLine="420"/>
        <w:rPr>
          <w:rFonts w:ascii="宋体" w:hAnsi="宋体"/>
        </w:rPr>
      </w:pPr>
      <w:r>
        <w:t>应符合</w:t>
      </w:r>
      <w:r>
        <w:t>NY/T 391</w:t>
      </w:r>
      <w:r>
        <w:rPr>
          <w:rFonts w:hint="eastAsia"/>
        </w:rPr>
        <w:t>的</w:t>
      </w:r>
      <w:r>
        <w:rPr>
          <w:rFonts w:hAnsi="宋体" w:hint="eastAsia"/>
        </w:rPr>
        <w:t>规定。绿色食品</w:t>
      </w:r>
      <w:r>
        <w:rPr>
          <w:rFonts w:hint="eastAsia"/>
          <w:lang w:val="en-US" w:eastAsia="zh-CN"/>
        </w:rPr>
        <w:t>油豆角</w:t>
      </w:r>
      <w:r>
        <w:rPr>
          <w:rFonts w:hint="eastAsia"/>
        </w:rPr>
        <w:t>生产应选择生态环境良好、无污染的地区，远离工矿区、</w:t>
      </w:r>
      <w:r>
        <w:rPr>
          <w:rFonts w:hint="eastAsia"/>
          <w:lang w:val="en-US" w:eastAsia="zh-CN" w:bidi="ar"/>
        </w:rPr>
        <w:t>公路铁路干线和生活区</w:t>
      </w:r>
      <w:r>
        <w:rPr>
          <w:rFonts w:hint="eastAsia"/>
        </w:rPr>
        <w:t>，避开污染源。宜选择地势较高，具有排灌条件，土层深厚（</w:t>
      </w:r>
      <w:r>
        <w:rPr>
          <w:rFonts w:hint="eastAsia"/>
        </w:rPr>
        <w:t>25 cm</w:t>
      </w:r>
      <w:r>
        <w:rPr>
          <w:rFonts w:hint="eastAsia"/>
        </w:rPr>
        <w:t>～</w:t>
      </w:r>
      <w:r>
        <w:rPr>
          <w:rFonts w:hint="eastAsia"/>
        </w:rPr>
        <w:t>30 cm</w:t>
      </w:r>
      <w:r>
        <w:rPr>
          <w:rFonts w:hint="eastAsia"/>
        </w:rPr>
        <w:t>）、疏松、肥沃的地块，</w:t>
      </w:r>
      <w:r>
        <w:rPr>
          <w:rFonts w:hint="eastAsia"/>
        </w:rPr>
        <w:t>pH</w:t>
      </w:r>
      <w:r>
        <w:rPr>
          <w:rFonts w:hint="eastAsia"/>
        </w:rPr>
        <w:t>值</w:t>
      </w:r>
      <w:r>
        <w:rPr>
          <w:rFonts w:hint="eastAsia"/>
        </w:rPr>
        <w:t>6.5</w:t>
      </w:r>
      <w:r>
        <w:rPr>
          <w:rFonts w:hint="eastAsia"/>
        </w:rPr>
        <w:t>～</w:t>
      </w:r>
      <w:r>
        <w:rPr>
          <w:rFonts w:hint="eastAsia"/>
        </w:rPr>
        <w:t>7.5</w:t>
      </w:r>
      <w:r>
        <w:rPr>
          <w:rFonts w:hint="eastAsia"/>
        </w:rPr>
        <w:t>。与同科作物</w:t>
      </w:r>
      <w:bookmarkStart w:id="3" w:name="OLE_LINK65"/>
      <w:bookmarkStart w:id="4" w:name="OLE_LINK66"/>
      <w:r>
        <w:rPr>
          <w:rFonts w:hint="eastAsia"/>
        </w:rPr>
        <w:t>不宜重迎茬</w:t>
      </w:r>
      <w:bookmarkEnd w:id="3"/>
      <w:bookmarkEnd w:id="4"/>
      <w:r>
        <w:rPr>
          <w:rFonts w:hint="eastAsia"/>
        </w:rPr>
        <w:t>，前茬作物未使用长残效除草剂。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4 品种选择</w:t>
      </w:r>
    </w:p>
    <w:p w:rsidR="007D264D" w:rsidRDefault="00C93681">
      <w:pPr>
        <w:pStyle w:val="a5"/>
        <w:ind w:firstLine="420"/>
      </w:pPr>
      <w:r>
        <w:rPr>
          <w:rFonts w:hint="eastAsia"/>
        </w:rPr>
        <w:t>选择抗病虫害、高产、优质、商品性符合市场需求的优良油豆角品种。</w:t>
      </w:r>
    </w:p>
    <w:p w:rsidR="007D264D" w:rsidRDefault="00C93681">
      <w:pPr>
        <w:pStyle w:val="a5"/>
        <w:ind w:firstLine="420"/>
        <w:rPr>
          <w:lang w:eastAsia="zh-CN"/>
        </w:rPr>
      </w:pPr>
      <w:r>
        <w:rPr>
          <w:rFonts w:hint="eastAsia"/>
        </w:rPr>
        <w:t>蔓生品种</w:t>
      </w:r>
      <w:r>
        <w:rPr>
          <w:rFonts w:hint="eastAsia"/>
          <w:lang w:eastAsia="zh-CN"/>
        </w:rPr>
        <w:t>推荐：</w:t>
      </w:r>
      <w:r>
        <w:rPr>
          <w:rFonts w:hint="eastAsia"/>
        </w:rPr>
        <w:t>将军油豆、绿冠、紫冠、锦冠、辉冠、哈优</w:t>
      </w:r>
      <w:r>
        <w:rPr>
          <w:rFonts w:hint="eastAsia"/>
        </w:rPr>
        <w:t>5</w:t>
      </w:r>
      <w:r>
        <w:rPr>
          <w:rFonts w:hint="eastAsia"/>
        </w:rPr>
        <w:t>号、哈优</w:t>
      </w:r>
      <w:r>
        <w:rPr>
          <w:rFonts w:hint="eastAsia"/>
        </w:rPr>
        <w:t>18</w:t>
      </w:r>
      <w:r>
        <w:rPr>
          <w:rFonts w:hint="eastAsia"/>
        </w:rPr>
        <w:t>号、</w:t>
      </w:r>
      <w:proofErr w:type="gramStart"/>
      <w:r>
        <w:rPr>
          <w:rFonts w:hint="eastAsia"/>
        </w:rPr>
        <w:t>龙油豆</w:t>
      </w:r>
      <w:proofErr w:type="gramEnd"/>
      <w:r>
        <w:rPr>
          <w:rFonts w:hint="eastAsia"/>
        </w:rPr>
        <w:t>3</w:t>
      </w:r>
      <w:r>
        <w:rPr>
          <w:rFonts w:hint="eastAsia"/>
        </w:rPr>
        <w:t>号、</w:t>
      </w:r>
      <w:proofErr w:type="gramStart"/>
      <w:r>
        <w:rPr>
          <w:rFonts w:hint="eastAsia"/>
        </w:rPr>
        <w:t>龙油豆</w:t>
      </w:r>
      <w:proofErr w:type="gramEnd"/>
      <w:r>
        <w:rPr>
          <w:rFonts w:hint="eastAsia"/>
        </w:rPr>
        <w:t>4</w:t>
      </w:r>
      <w:r>
        <w:rPr>
          <w:rFonts w:hint="eastAsia"/>
        </w:rPr>
        <w:t>号、满堂彩、皇冠、黄罗兰、西育</w:t>
      </w:r>
      <w:r>
        <w:rPr>
          <w:rFonts w:hint="eastAsia"/>
        </w:rPr>
        <w:t>22</w:t>
      </w:r>
      <w:r>
        <w:rPr>
          <w:rFonts w:hint="eastAsia"/>
        </w:rPr>
        <w:t>号、黄金钩、黑豆黄、黑珍珠、兔子翻白眼</w:t>
      </w:r>
      <w:r>
        <w:rPr>
          <w:rFonts w:hint="eastAsia"/>
          <w:lang w:eastAsia="zh-CN"/>
        </w:rPr>
        <w:t>和</w:t>
      </w:r>
      <w:r>
        <w:rPr>
          <w:rFonts w:hint="eastAsia"/>
        </w:rPr>
        <w:t>九月青</w:t>
      </w:r>
      <w:r>
        <w:rPr>
          <w:rFonts w:hint="eastAsia"/>
          <w:lang w:eastAsia="zh-CN"/>
        </w:rPr>
        <w:t>等。</w:t>
      </w:r>
    </w:p>
    <w:p w:rsidR="007D264D" w:rsidRDefault="00C93681">
      <w:pPr>
        <w:pStyle w:val="a5"/>
        <w:ind w:firstLine="420"/>
        <w:rPr>
          <w:rFonts w:asciiTheme="minorEastAsia" w:eastAsiaTheme="minorEastAsia" w:hAnsiTheme="minorEastAsia" w:cs="黑体"/>
        </w:rPr>
      </w:pPr>
      <w:r>
        <w:rPr>
          <w:rFonts w:hint="eastAsia"/>
        </w:rPr>
        <w:t>矮生品种</w:t>
      </w:r>
      <w:r>
        <w:rPr>
          <w:rFonts w:hint="eastAsia"/>
          <w:lang w:eastAsia="zh-CN"/>
        </w:rPr>
        <w:t>推荐：</w:t>
      </w:r>
      <w:r>
        <w:rPr>
          <w:rFonts w:hint="eastAsia"/>
        </w:rPr>
        <w:t>青冠、哈优</w:t>
      </w:r>
      <w:r>
        <w:rPr>
          <w:rFonts w:hint="eastAsia"/>
        </w:rPr>
        <w:t>21</w:t>
      </w:r>
      <w:r>
        <w:rPr>
          <w:rFonts w:hint="eastAsia"/>
        </w:rPr>
        <w:t>号</w:t>
      </w:r>
      <w:r>
        <w:rPr>
          <w:rFonts w:hint="eastAsia"/>
          <w:lang w:eastAsia="zh-CN"/>
        </w:rPr>
        <w:t>和</w:t>
      </w:r>
      <w:r>
        <w:rPr>
          <w:rFonts w:hint="eastAsia"/>
        </w:rPr>
        <w:t>金冠</w:t>
      </w:r>
      <w:r>
        <w:rPr>
          <w:rFonts w:hint="eastAsia"/>
          <w:lang w:eastAsia="zh-CN"/>
        </w:rPr>
        <w:t>等</w:t>
      </w:r>
      <w:r>
        <w:rPr>
          <w:rFonts w:hint="eastAsia"/>
        </w:rPr>
        <w:t>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lastRenderedPageBreak/>
        <w:t>5 整地施肥</w:t>
      </w:r>
    </w:p>
    <w:p w:rsidR="007D264D" w:rsidRDefault="00C93681">
      <w:pPr>
        <w:pStyle w:val="a5"/>
        <w:ind w:firstLine="420"/>
        <w:rPr>
          <w:rFonts w:cs="Times New Roman"/>
        </w:rPr>
      </w:pPr>
      <w:r>
        <w:rPr>
          <w:rFonts w:cs="Times New Roman"/>
        </w:rPr>
        <w:t>播种前应该深翻</w:t>
      </w:r>
      <w:r>
        <w:rPr>
          <w:rFonts w:cs="Times New Roman"/>
        </w:rPr>
        <w:t>25 cm</w:t>
      </w:r>
      <w:r>
        <w:rPr>
          <w:rFonts w:cs="Times New Roman"/>
        </w:rPr>
        <w:t>，整地后做畦，畦宽</w:t>
      </w:r>
      <w:r>
        <w:rPr>
          <w:rFonts w:cs="Times New Roman"/>
        </w:rPr>
        <w:t>1.2 m</w:t>
      </w:r>
      <w:r>
        <w:rPr>
          <w:rFonts w:cs="Times New Roman"/>
        </w:rPr>
        <w:t>～</w:t>
      </w:r>
      <w:r>
        <w:rPr>
          <w:rFonts w:cs="Times New Roman"/>
        </w:rPr>
        <w:t>1.3 m</w:t>
      </w:r>
      <w:r>
        <w:rPr>
          <w:rFonts w:cs="Times New Roman"/>
        </w:rPr>
        <w:t>，畦高</w:t>
      </w:r>
      <w:r>
        <w:rPr>
          <w:rFonts w:cs="Times New Roman"/>
        </w:rPr>
        <w:t>12 cm</w:t>
      </w:r>
      <w:r>
        <w:rPr>
          <w:rFonts w:cs="Times New Roman"/>
        </w:rPr>
        <w:t>～</w:t>
      </w:r>
      <w:r>
        <w:rPr>
          <w:rFonts w:cs="Times New Roman"/>
        </w:rPr>
        <w:t>15 cm</w:t>
      </w:r>
      <w:r>
        <w:rPr>
          <w:rFonts w:cs="Times New Roman"/>
        </w:rPr>
        <w:t>，覆盖白色或黑色地膜保湿增温除草，地膜选用应符合</w:t>
      </w:r>
      <w:r>
        <w:rPr>
          <w:rFonts w:cs="Times New Roman"/>
        </w:rPr>
        <w:t xml:space="preserve">GB </w:t>
      </w:r>
      <w:bookmarkStart w:id="5" w:name="OLE_LINK67"/>
      <w:r>
        <w:rPr>
          <w:rFonts w:cs="Times New Roman"/>
        </w:rPr>
        <w:t>13735</w:t>
      </w:r>
      <w:bookmarkEnd w:id="5"/>
      <w:r>
        <w:rPr>
          <w:rFonts w:cs="Times New Roman"/>
        </w:rPr>
        <w:t>的规定。</w:t>
      </w:r>
    </w:p>
    <w:p w:rsidR="007D264D" w:rsidRDefault="00C93681">
      <w:pPr>
        <w:pStyle w:val="a5"/>
        <w:ind w:firstLine="420"/>
        <w:rPr>
          <w:rFonts w:cs="Times New Roman"/>
        </w:rPr>
      </w:pPr>
      <w:r>
        <w:rPr>
          <w:rFonts w:cs="Times New Roman" w:hint="eastAsia"/>
          <w:lang w:eastAsia="zh-CN"/>
        </w:rPr>
        <w:t>施肥</w:t>
      </w:r>
      <w:r>
        <w:rPr>
          <w:rFonts w:cs="Times New Roman"/>
        </w:rPr>
        <w:t>应符合</w:t>
      </w:r>
      <w:r>
        <w:rPr>
          <w:rFonts w:cs="Times New Roman"/>
        </w:rPr>
        <w:t>NY/T 394</w:t>
      </w:r>
      <w:r>
        <w:rPr>
          <w:rFonts w:cs="Times New Roman"/>
        </w:rPr>
        <w:t>的</w:t>
      </w:r>
      <w:r>
        <w:rPr>
          <w:rFonts w:cs="Times New Roman" w:hint="eastAsia"/>
          <w:lang w:eastAsia="zh-CN"/>
        </w:rPr>
        <w:t>规定。</w:t>
      </w:r>
      <w:r>
        <w:rPr>
          <w:rFonts w:cs="Times New Roman"/>
        </w:rPr>
        <w:t>整地深翻时施用基肥，一般每亩施用充分腐熟农家肥</w:t>
      </w:r>
      <w:r>
        <w:rPr>
          <w:rFonts w:cs="Times New Roman"/>
        </w:rPr>
        <w:t>2500 kg</w:t>
      </w:r>
      <w:r>
        <w:rPr>
          <w:rFonts w:cs="Times New Roman"/>
        </w:rPr>
        <w:t>～</w:t>
      </w:r>
      <w:r>
        <w:rPr>
          <w:rFonts w:cs="Times New Roman"/>
        </w:rPr>
        <w:t>3000 kg</w:t>
      </w:r>
      <w:r>
        <w:rPr>
          <w:rFonts w:cs="Times New Roman"/>
        </w:rPr>
        <w:t>，磷酸二铵</w:t>
      </w:r>
      <w:r>
        <w:rPr>
          <w:rFonts w:cs="Times New Roman"/>
        </w:rPr>
        <w:t>30 kg</w:t>
      </w:r>
      <w:r>
        <w:rPr>
          <w:rFonts w:cs="Times New Roman"/>
        </w:rPr>
        <w:t>～</w:t>
      </w:r>
      <w:r>
        <w:rPr>
          <w:rFonts w:cs="Times New Roman"/>
        </w:rPr>
        <w:t>50 kg</w:t>
      </w:r>
      <w:r>
        <w:rPr>
          <w:rFonts w:cs="Times New Roman"/>
        </w:rPr>
        <w:t>，尿素</w:t>
      </w:r>
      <w:r>
        <w:rPr>
          <w:rFonts w:cs="Times New Roman"/>
        </w:rPr>
        <w:t>6 kg</w:t>
      </w:r>
      <w:r>
        <w:rPr>
          <w:rFonts w:cs="Times New Roman"/>
        </w:rPr>
        <w:t>～</w:t>
      </w:r>
      <w:r>
        <w:rPr>
          <w:rFonts w:cs="Times New Roman"/>
        </w:rPr>
        <w:t>10 kg</w:t>
      </w:r>
      <w:r>
        <w:rPr>
          <w:rFonts w:cs="Times New Roman"/>
        </w:rPr>
        <w:t>，硫酸钾</w:t>
      </w:r>
      <w:r>
        <w:rPr>
          <w:rFonts w:cs="Times New Roman"/>
        </w:rPr>
        <w:t>15 kg</w:t>
      </w:r>
      <w:r>
        <w:rPr>
          <w:rFonts w:cs="Times New Roman"/>
        </w:rPr>
        <w:t>～</w:t>
      </w:r>
      <w:r>
        <w:rPr>
          <w:rFonts w:cs="Times New Roman"/>
        </w:rPr>
        <w:t>25 kg</w:t>
      </w:r>
      <w:r>
        <w:rPr>
          <w:rFonts w:cs="Times New Roman"/>
        </w:rPr>
        <w:t>，也可采用专用复合肥配合使用微生物菌剂。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6 播种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6.1 播种时间</w:t>
      </w:r>
    </w:p>
    <w:p w:rsidR="007D264D" w:rsidRDefault="00C93681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10 cm</w:t>
      </w:r>
      <w:r>
        <w:rPr>
          <w:rFonts w:hint="eastAsia"/>
          <w:lang w:eastAsia="zh-CN"/>
        </w:rPr>
        <w:t>土层温度稳定通过</w:t>
      </w:r>
      <w:r>
        <w:rPr>
          <w:rFonts w:hint="eastAsia"/>
          <w:lang w:eastAsia="zh-CN"/>
        </w:rPr>
        <w:t xml:space="preserve">10 </w:t>
      </w:r>
      <w:r>
        <w:rPr>
          <w:rFonts w:hint="eastAsia"/>
          <w:lang w:eastAsia="zh-CN"/>
        </w:rPr>
        <w:t>℃时可播种，避免开花结荚期温度超过</w:t>
      </w:r>
      <w:r>
        <w:rPr>
          <w:rFonts w:hint="eastAsia"/>
          <w:lang w:eastAsia="zh-CN"/>
        </w:rPr>
        <w:t xml:space="preserve">35 </w:t>
      </w:r>
      <w:r>
        <w:rPr>
          <w:rFonts w:hint="eastAsia"/>
          <w:lang w:eastAsia="zh-CN"/>
        </w:rPr>
        <w:t>℃，同时避免早霜危害。</w:t>
      </w:r>
    </w:p>
    <w:p w:rsidR="007D264D" w:rsidRDefault="00C93681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黑龙江、内蒙古露地栽培适宜在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月中下旬至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月上旬直播，吉林露地栽培适宜在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月中下旬直播，辽宁露地栽培适宜在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月上中旬直播。</w:t>
      </w:r>
    </w:p>
    <w:p w:rsidR="007D264D" w:rsidRPr="009659A0" w:rsidRDefault="00C93681">
      <w:pPr>
        <w:pStyle w:val="2"/>
        <w:adjustRightInd w:val="0"/>
        <w:snapToGrid w:val="0"/>
        <w:jc w:val="both"/>
        <w:rPr>
          <w:rFonts w:cs="黑体" w:hint="default"/>
          <w:lang w:val="hu-HU"/>
        </w:rPr>
      </w:pPr>
      <w:r w:rsidRPr="009659A0">
        <w:rPr>
          <w:rFonts w:cs="黑体"/>
          <w:lang w:val="hu-HU"/>
        </w:rPr>
        <w:t>6.2 播种方法</w:t>
      </w:r>
    </w:p>
    <w:p w:rsidR="007D264D" w:rsidRDefault="00C93681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机械或人工穴播，每穴播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粒，定苗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株。每畦种植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行，行距</w:t>
      </w:r>
      <w:r>
        <w:rPr>
          <w:rFonts w:hint="eastAsia"/>
          <w:lang w:eastAsia="zh-CN"/>
        </w:rPr>
        <w:t>60 cm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65 cm</w:t>
      </w:r>
      <w:r>
        <w:rPr>
          <w:rFonts w:hint="eastAsia"/>
          <w:lang w:eastAsia="zh-CN"/>
        </w:rPr>
        <w:t>，株距</w:t>
      </w:r>
      <w:r>
        <w:rPr>
          <w:rFonts w:hint="eastAsia"/>
          <w:lang w:eastAsia="zh-CN"/>
        </w:rPr>
        <w:t>40 cm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50 cm</w:t>
      </w:r>
      <w:r>
        <w:rPr>
          <w:rFonts w:hint="eastAsia"/>
          <w:lang w:eastAsia="zh-CN"/>
        </w:rPr>
        <w:t>，亩播种量</w:t>
      </w:r>
      <w:r>
        <w:rPr>
          <w:rFonts w:hint="eastAsia"/>
          <w:lang w:eastAsia="zh-CN"/>
        </w:rPr>
        <w:t>3 kg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5 kg</w:t>
      </w:r>
      <w:r>
        <w:rPr>
          <w:rFonts w:hint="eastAsia"/>
          <w:lang w:eastAsia="zh-CN"/>
        </w:rPr>
        <w:t>，播深</w:t>
      </w:r>
      <w:r>
        <w:rPr>
          <w:rFonts w:hint="eastAsia"/>
          <w:lang w:eastAsia="zh-CN"/>
        </w:rPr>
        <w:t>2 cm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3 cm</w:t>
      </w:r>
      <w:r>
        <w:rPr>
          <w:rFonts w:hint="eastAsia"/>
          <w:lang w:eastAsia="zh-CN"/>
        </w:rPr>
        <w:t>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7 田间管理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7.1 灌溉</w:t>
      </w:r>
    </w:p>
    <w:p w:rsidR="007D264D" w:rsidRDefault="00C93681">
      <w:pPr>
        <w:pStyle w:val="a5"/>
        <w:ind w:firstLine="420"/>
        <w:rPr>
          <w:rFonts w:ascii="宋体" w:hAnsi="宋体"/>
        </w:rPr>
      </w:pPr>
      <w:r>
        <w:rPr>
          <w:rFonts w:asciiTheme="minorEastAsia" w:hAnsiTheme="minorEastAsia" w:cstheme="minorEastAsia" w:hint="eastAsia"/>
        </w:rPr>
        <w:t>宜采用膜下滴灌。播后视墒情适当浇水，开花结荚前少浇水，结荚后视墒情浇水，盛收以后避免缺水，雨季注意排水排涝。浇水应在晴天上午进行</w:t>
      </w:r>
      <w:r>
        <w:rPr>
          <w:rFonts w:ascii="宋体" w:hAnsi="宋体" w:hint="eastAsia"/>
        </w:rPr>
        <w:t>。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7.2 追肥</w:t>
      </w:r>
    </w:p>
    <w:p w:rsidR="007D264D" w:rsidRDefault="00C93681">
      <w:pPr>
        <w:pStyle w:val="a5"/>
        <w:ind w:firstLine="420"/>
        <w:rPr>
          <w:rFonts w:cs="Times New Roman"/>
        </w:rPr>
      </w:pPr>
      <w:r>
        <w:rPr>
          <w:rFonts w:cs="Times New Roman"/>
        </w:rPr>
        <w:t>追肥应符合</w:t>
      </w:r>
      <w:r>
        <w:rPr>
          <w:rFonts w:cs="Times New Roman"/>
        </w:rPr>
        <w:t>NY/T 394</w:t>
      </w:r>
      <w:r>
        <w:rPr>
          <w:rFonts w:cs="Times New Roman"/>
        </w:rPr>
        <w:t>的</w:t>
      </w:r>
      <w:r>
        <w:rPr>
          <w:rFonts w:cs="Times New Roman" w:hint="eastAsia"/>
          <w:lang w:eastAsia="zh-CN"/>
        </w:rPr>
        <w:t>规定</w:t>
      </w:r>
      <w:r>
        <w:rPr>
          <w:rFonts w:cs="Times New Roman"/>
        </w:rPr>
        <w:t>。隔</w:t>
      </w:r>
      <w:proofErr w:type="gramStart"/>
      <w:r>
        <w:rPr>
          <w:rFonts w:cs="Times New Roman"/>
        </w:rPr>
        <w:t>一次水追一次</w:t>
      </w:r>
      <w:proofErr w:type="gramEnd"/>
      <w:r>
        <w:rPr>
          <w:rFonts w:cs="Times New Roman"/>
        </w:rPr>
        <w:t>肥，每亩每次施氮磷钾平衡复合肥</w:t>
      </w:r>
      <w:r>
        <w:rPr>
          <w:rFonts w:cs="Times New Roman"/>
        </w:rPr>
        <w:t>10 kg</w:t>
      </w:r>
      <w:r>
        <w:rPr>
          <w:rFonts w:cs="Times New Roman"/>
        </w:rPr>
        <w:t>～</w:t>
      </w:r>
      <w:r>
        <w:rPr>
          <w:rFonts w:cs="Times New Roman"/>
        </w:rPr>
        <w:t>15 kg</w:t>
      </w:r>
      <w:r>
        <w:rPr>
          <w:rFonts w:cs="Times New Roman"/>
        </w:rPr>
        <w:t>，生长期根据长势可叶面喷施磷酸二氢钾、硼、</w:t>
      </w:r>
      <w:proofErr w:type="gramStart"/>
      <w:r>
        <w:rPr>
          <w:rFonts w:cs="Times New Roman"/>
        </w:rPr>
        <w:t>钼</w:t>
      </w:r>
      <w:proofErr w:type="gramEnd"/>
      <w:r>
        <w:rPr>
          <w:rFonts w:cs="Times New Roman"/>
        </w:rPr>
        <w:t>等微量元素</w:t>
      </w:r>
      <w:r>
        <w:rPr>
          <w:rFonts w:cs="Times New Roman" w:hint="eastAsia"/>
          <w:lang w:eastAsia="zh-CN"/>
        </w:rPr>
        <w:t>，</w:t>
      </w:r>
      <w:r>
        <w:rPr>
          <w:rFonts w:cs="Times New Roman"/>
        </w:rPr>
        <w:t>防止早衰。插架后至结荚前，视长势适当调整水肥。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7.3 插架</w:t>
      </w:r>
    </w:p>
    <w:p w:rsidR="007D264D" w:rsidRDefault="00C93681">
      <w:pPr>
        <w:pStyle w:val="a5"/>
        <w:ind w:firstLine="420"/>
        <w:rPr>
          <w:rFonts w:cs="Times New Roman"/>
        </w:rPr>
      </w:pPr>
      <w:r>
        <w:rPr>
          <w:rFonts w:cs="Times New Roman"/>
        </w:rPr>
        <w:t>当植株长至</w:t>
      </w:r>
      <w:r>
        <w:rPr>
          <w:rFonts w:cs="Times New Roman"/>
        </w:rPr>
        <w:t>5</w:t>
      </w:r>
      <w:r>
        <w:rPr>
          <w:rFonts w:cs="Times New Roman"/>
        </w:rPr>
        <w:t>片</w:t>
      </w:r>
      <w:r>
        <w:rPr>
          <w:rFonts w:cs="Times New Roman"/>
          <w:kern w:val="0"/>
        </w:rPr>
        <w:t>～</w:t>
      </w:r>
      <w:r>
        <w:rPr>
          <w:rFonts w:cs="Times New Roman"/>
        </w:rPr>
        <w:t>6</w:t>
      </w:r>
      <w:r>
        <w:rPr>
          <w:rFonts w:cs="Times New Roman"/>
        </w:rPr>
        <w:t>片叶时</w:t>
      </w:r>
      <w:r>
        <w:rPr>
          <w:rFonts w:cs="Times New Roman" w:hint="eastAsia"/>
          <w:lang w:eastAsia="zh-CN"/>
        </w:rPr>
        <w:t>，</w:t>
      </w:r>
      <w:r>
        <w:rPr>
          <w:rFonts w:cs="Times New Roman"/>
        </w:rPr>
        <w:t>及时插架，插人字架或花架，架条不低于</w:t>
      </w:r>
      <w:r>
        <w:rPr>
          <w:rFonts w:cs="Times New Roman"/>
        </w:rPr>
        <w:t>2.2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</w:rPr>
        <w:t>。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 xml:space="preserve">7.4 </w:t>
      </w:r>
      <w:proofErr w:type="gramStart"/>
      <w:r>
        <w:rPr>
          <w:rFonts w:cs="黑体"/>
        </w:rPr>
        <w:t>理枝整蔓</w:t>
      </w:r>
      <w:proofErr w:type="gramEnd"/>
    </w:p>
    <w:p w:rsidR="007D264D" w:rsidRDefault="00C93681">
      <w:pPr>
        <w:pStyle w:val="a5"/>
        <w:ind w:firstLine="420"/>
        <w:rPr>
          <w:rFonts w:cs="Times New Roman"/>
        </w:rPr>
      </w:pPr>
      <w:r>
        <w:rPr>
          <w:rFonts w:cs="Times New Roman" w:hint="eastAsia"/>
        </w:rPr>
        <w:t>植株抽蔓后及时引蔓上架；当主蔓爬至架顶时，要及时打顶摘心</w:t>
      </w:r>
      <w:r>
        <w:rPr>
          <w:rFonts w:cs="Times New Roman"/>
        </w:rPr>
        <w:t>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8病虫害防治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8.1 防治</w:t>
      </w:r>
      <w:r>
        <w:rPr>
          <w:rFonts w:cs="黑体"/>
        </w:rPr>
        <w:t>原则</w:t>
      </w:r>
    </w:p>
    <w:p w:rsidR="007D264D" w:rsidRDefault="00C93681">
      <w:pPr>
        <w:pStyle w:val="a5"/>
        <w:ind w:firstLine="420"/>
      </w:pPr>
      <w:r>
        <w:rPr>
          <w:rFonts w:hint="eastAsia"/>
        </w:rPr>
        <w:t>按照“预防为主、综合防治”的植保方针，在做好种子检疫和病虫害田间监测的基础上，针对</w:t>
      </w:r>
      <w:proofErr w:type="gramStart"/>
      <w:r>
        <w:rPr>
          <w:rFonts w:hint="eastAsia"/>
          <w:lang w:eastAsia="zh-CN"/>
        </w:rPr>
        <w:t>露地油</w:t>
      </w:r>
      <w:proofErr w:type="gramEnd"/>
      <w:r>
        <w:rPr>
          <w:rFonts w:hint="eastAsia"/>
          <w:lang w:eastAsia="zh-CN"/>
        </w:rPr>
        <w:t>豆角</w:t>
      </w:r>
      <w:r>
        <w:rPr>
          <w:rFonts w:hint="eastAsia"/>
        </w:rPr>
        <w:t>不同生育期主要病虫害发生特点，</w:t>
      </w:r>
      <w:r>
        <w:rPr>
          <w:rFonts w:ascii="宋体" w:hAnsi="宋体" w:hint="eastAsia"/>
        </w:rPr>
        <w:t>优先采用农业措施</w:t>
      </w:r>
      <w:r>
        <w:rPr>
          <w:rFonts w:hint="eastAsia"/>
        </w:rPr>
        <w:t>、物理防治、生物防治，辅之以科学合理的化学防治的绿色防控技术，实现</w:t>
      </w:r>
      <w:proofErr w:type="gramStart"/>
      <w:r>
        <w:rPr>
          <w:rFonts w:hint="eastAsia"/>
          <w:lang w:eastAsia="zh-CN"/>
        </w:rPr>
        <w:t>露地油</w:t>
      </w:r>
      <w:proofErr w:type="gramEnd"/>
      <w:r>
        <w:rPr>
          <w:rFonts w:hint="eastAsia"/>
          <w:lang w:eastAsia="zh-CN"/>
        </w:rPr>
        <w:t>豆角</w:t>
      </w:r>
      <w:r>
        <w:rPr>
          <w:rFonts w:hint="eastAsia"/>
        </w:rPr>
        <w:t>病虫害绿色防控和优质安全生产。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  <w:szCs w:val="21"/>
        </w:rPr>
        <w:t xml:space="preserve">8.2 </w:t>
      </w:r>
      <w:r>
        <w:rPr>
          <w:rFonts w:cs="黑体"/>
        </w:rPr>
        <w:t>常见</w:t>
      </w:r>
      <w:r>
        <w:rPr>
          <w:rFonts w:cs="黑体"/>
          <w:szCs w:val="21"/>
        </w:rPr>
        <w:t>病虫害</w:t>
      </w:r>
    </w:p>
    <w:p w:rsidR="007D264D" w:rsidRDefault="00C93681">
      <w:pPr>
        <w:pStyle w:val="af4"/>
        <w:adjustRightInd w:val="0"/>
        <w:snapToGrid w:val="0"/>
        <w:spacing w:beforeLines="0" w:afterLines="0" w:line="360" w:lineRule="auto"/>
        <w:ind w:left="0"/>
      </w:pPr>
      <w:r>
        <w:rPr>
          <w:rFonts w:hint="eastAsia"/>
        </w:rPr>
        <w:lastRenderedPageBreak/>
        <w:t>8.2.</w:t>
      </w:r>
      <w:r>
        <w:t xml:space="preserve">1 </w:t>
      </w:r>
      <w:r>
        <w:rPr>
          <w:rFonts w:hint="eastAsia"/>
        </w:rPr>
        <w:t>主要病害</w:t>
      </w:r>
    </w:p>
    <w:p w:rsidR="007D264D" w:rsidRDefault="00C93681">
      <w:pPr>
        <w:pStyle w:val="a5"/>
        <w:ind w:firstLine="420"/>
      </w:pPr>
      <w:r>
        <w:rPr>
          <w:rFonts w:hint="eastAsia"/>
        </w:rPr>
        <w:t>常见病害：灰霉病、锈病、白粉病</w:t>
      </w:r>
      <w:r>
        <w:rPr>
          <w:rFonts w:hint="eastAsia"/>
          <w:lang w:eastAsia="zh-CN"/>
        </w:rPr>
        <w:t>和</w:t>
      </w:r>
      <w:r>
        <w:rPr>
          <w:rFonts w:hint="eastAsia"/>
        </w:rPr>
        <w:t>立枯病等。</w:t>
      </w:r>
    </w:p>
    <w:p w:rsidR="007D264D" w:rsidRDefault="00C93681">
      <w:pPr>
        <w:pStyle w:val="af4"/>
        <w:adjustRightInd w:val="0"/>
        <w:snapToGrid w:val="0"/>
        <w:spacing w:beforeLines="0" w:afterLines="0" w:line="360" w:lineRule="auto"/>
        <w:ind w:left="0"/>
      </w:pPr>
      <w:r>
        <w:rPr>
          <w:rFonts w:hint="eastAsia"/>
        </w:rPr>
        <w:t>8</w:t>
      </w:r>
      <w:r>
        <w:t xml:space="preserve">.2.2 </w:t>
      </w:r>
      <w:r>
        <w:rPr>
          <w:rFonts w:hAnsi="黑体" w:cs="黑体" w:hint="eastAsia"/>
        </w:rPr>
        <w:t>主要</w:t>
      </w:r>
      <w:r>
        <w:rPr>
          <w:rFonts w:hint="eastAsia"/>
        </w:rPr>
        <w:t>虫害</w:t>
      </w:r>
    </w:p>
    <w:p w:rsidR="007D264D" w:rsidRDefault="00C93681">
      <w:pPr>
        <w:pStyle w:val="a5"/>
        <w:ind w:firstLine="420"/>
      </w:pPr>
      <w:r>
        <w:rPr>
          <w:rFonts w:hint="eastAsia"/>
          <w:lang w:eastAsia="zh-CN"/>
        </w:rPr>
        <w:t>常见虫害：</w:t>
      </w:r>
      <w:proofErr w:type="gramStart"/>
      <w:r>
        <w:rPr>
          <w:rFonts w:hint="eastAsia"/>
        </w:rPr>
        <w:t>蓟</w:t>
      </w:r>
      <w:proofErr w:type="gramEnd"/>
      <w:r>
        <w:rPr>
          <w:rFonts w:hint="eastAsia"/>
        </w:rPr>
        <w:t>马、美洲斑潜蝇</w:t>
      </w:r>
      <w:r>
        <w:rPr>
          <w:rFonts w:hint="eastAsia"/>
          <w:lang w:eastAsia="zh-CN"/>
        </w:rPr>
        <w:t>和</w:t>
      </w:r>
      <w:r>
        <w:rPr>
          <w:rFonts w:hint="eastAsia"/>
        </w:rPr>
        <w:t>豆荚螟等。</w:t>
      </w:r>
    </w:p>
    <w:p w:rsidR="007D264D" w:rsidRDefault="00C93681">
      <w:pPr>
        <w:pStyle w:val="af4"/>
        <w:adjustRightInd w:val="0"/>
        <w:snapToGrid w:val="0"/>
        <w:spacing w:beforeLines="0" w:afterLines="0" w:line="360" w:lineRule="auto"/>
        <w:ind w:left="0"/>
      </w:pPr>
      <w:r>
        <w:rPr>
          <w:rFonts w:hint="eastAsia"/>
        </w:rPr>
        <w:t>8</w:t>
      </w:r>
      <w:r>
        <w:t>.2.</w:t>
      </w:r>
      <w:r>
        <w:rPr>
          <w:rFonts w:hint="eastAsia"/>
        </w:rPr>
        <w:t>3</w:t>
      </w:r>
      <w:r>
        <w:t xml:space="preserve"> </w:t>
      </w:r>
      <w:r>
        <w:rPr>
          <w:rFonts w:hAnsi="黑体" w:cs="黑体" w:hint="eastAsia"/>
        </w:rPr>
        <w:t>主要</w:t>
      </w:r>
      <w:r>
        <w:rPr>
          <w:rFonts w:hint="eastAsia"/>
        </w:rPr>
        <w:t>草害</w:t>
      </w:r>
    </w:p>
    <w:p w:rsidR="007D264D" w:rsidRDefault="00C93681">
      <w:pPr>
        <w:pStyle w:val="a5"/>
        <w:ind w:firstLine="420"/>
      </w:pPr>
      <w:r>
        <w:rPr>
          <w:rFonts w:hint="eastAsia"/>
          <w:lang w:eastAsia="zh-CN"/>
        </w:rPr>
        <w:t>常见草害：</w:t>
      </w:r>
      <w:proofErr w:type="gramStart"/>
      <w:r>
        <w:rPr>
          <w:rFonts w:hint="eastAsia"/>
          <w:lang w:eastAsia="zh-CN"/>
        </w:rPr>
        <w:t>稗</w:t>
      </w:r>
      <w:proofErr w:type="gramEnd"/>
      <w:r>
        <w:rPr>
          <w:rFonts w:hint="eastAsia"/>
          <w:lang w:eastAsia="zh-CN"/>
        </w:rPr>
        <w:t>、刺儿菜、荠菜、狗尾草、鸭舌草、打碗花、铁苋菜、马齿苋和酸模叶</w:t>
      </w:r>
      <w:proofErr w:type="gramStart"/>
      <w:r>
        <w:rPr>
          <w:rFonts w:hint="eastAsia"/>
          <w:lang w:eastAsia="zh-CN"/>
        </w:rPr>
        <w:t>蓼</w:t>
      </w:r>
      <w:proofErr w:type="gramEnd"/>
      <w:r>
        <w:rPr>
          <w:rFonts w:hint="eastAsia"/>
          <w:lang w:eastAsia="zh-CN"/>
        </w:rPr>
        <w:t>等</w:t>
      </w:r>
      <w:r>
        <w:rPr>
          <w:rFonts w:hint="eastAsia"/>
        </w:rPr>
        <w:t>。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8.3 防治措施</w:t>
      </w:r>
    </w:p>
    <w:p w:rsidR="007D264D" w:rsidRDefault="00C93681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8.3.1</w:t>
      </w:r>
      <w:r>
        <w:rPr>
          <w:rFonts w:hAnsi="黑体" w:cs="黑体"/>
        </w:rPr>
        <w:t xml:space="preserve"> </w:t>
      </w:r>
      <w:r>
        <w:rPr>
          <w:rFonts w:hint="eastAsia"/>
        </w:rPr>
        <w:t>农业</w:t>
      </w:r>
      <w:r>
        <w:rPr>
          <w:rFonts w:hAnsi="黑体" w:cs="黑体" w:hint="eastAsia"/>
        </w:rPr>
        <w:t>防治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黑体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选用抗病性、抗逆性强优良品种；深翻土地和改良土壤；清洁田园，及时摘除老叶、病叶、病果、黄叶和杂草，拔除病株，并带出地块进行无害化处理；加强水分管理，控制好温湿度；深沟高畦，严防积水；合理施肥，增施有机肥和磷钾肥；实行严格的轮作、间种套种，与非豆类作物轮作</w:t>
      </w:r>
      <w:r>
        <w:rPr>
          <w:rFonts w:ascii="Times New Roman" w:hAnsi="Times New Roman" w:cs="Times New Roman" w:hint="eastAsia"/>
          <w:kern w:val="0"/>
          <w:szCs w:val="21"/>
        </w:rPr>
        <w:t>3</w:t>
      </w:r>
      <w:r>
        <w:rPr>
          <w:rFonts w:ascii="Times New Roman" w:hAnsi="Times New Roman" w:cs="Times New Roman" w:hint="eastAsia"/>
          <w:kern w:val="0"/>
          <w:szCs w:val="21"/>
        </w:rPr>
        <w:t>年以上；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本茬结束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后，及时用</w:t>
      </w:r>
      <w:r>
        <w:rPr>
          <w:rFonts w:ascii="Times New Roman" w:hAnsi="Times New Roman" w:cs="Times New Roman" w:hint="eastAsia"/>
          <w:kern w:val="0"/>
          <w:szCs w:val="21"/>
        </w:rPr>
        <w:t>0.2%</w:t>
      </w:r>
      <w:r>
        <w:rPr>
          <w:rFonts w:ascii="Times New Roman" w:hAnsi="Times New Roman" w:cs="Times New Roman" w:hint="eastAsia"/>
          <w:kern w:val="0"/>
          <w:szCs w:val="21"/>
        </w:rPr>
        <w:t>高锰酸钾液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对架条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进行消毒处理。</w:t>
      </w:r>
    </w:p>
    <w:p w:rsidR="007D264D" w:rsidRDefault="00C93681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8.3.2</w:t>
      </w:r>
      <w:r>
        <w:rPr>
          <w:rFonts w:hAnsi="黑体" w:cs="黑体"/>
        </w:rPr>
        <w:t xml:space="preserve"> </w:t>
      </w:r>
      <w:r>
        <w:rPr>
          <w:rFonts w:hint="eastAsia"/>
        </w:rPr>
        <w:t>物理防治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黑体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温汤浸种；设置防虫网覆盖、铺设银灰色地膜物理阻隔或趋避适用于诱杀鳞翅目害虫；在非天敌释放的地块，悬挂黄色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诱虫板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诱杀斑潜蝇、粉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虱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、蚜虫等成虫，悬挂蓝色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诱虫板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或蓝色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诱虫板</w:t>
      </w:r>
      <w:r>
        <w:rPr>
          <w:rFonts w:ascii="Times New Roman" w:hAnsi="Times New Roman" w:cs="Times New Roman" w:hint="eastAsia"/>
          <w:kern w:val="0"/>
          <w:szCs w:val="21"/>
        </w:rPr>
        <w:t>+</w:t>
      </w:r>
      <w:r>
        <w:rPr>
          <w:rFonts w:ascii="Times New Roman" w:hAnsi="Times New Roman" w:cs="Times New Roman" w:hint="eastAsia"/>
          <w:kern w:val="0"/>
          <w:szCs w:val="21"/>
        </w:rPr>
        <w:t>蓟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马信息素诱杀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蓟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马，每亩悬挂各</w:t>
      </w:r>
      <w:r>
        <w:rPr>
          <w:rFonts w:ascii="Times New Roman" w:hAnsi="Times New Roman" w:cs="Times New Roman" w:hint="eastAsia"/>
          <w:kern w:val="0"/>
          <w:szCs w:val="21"/>
        </w:rPr>
        <w:t>20</w:t>
      </w:r>
      <w:r>
        <w:rPr>
          <w:rFonts w:ascii="Times New Roman" w:hAnsi="Times New Roman" w:cs="Times New Roman" w:hint="eastAsia"/>
          <w:kern w:val="0"/>
          <w:szCs w:val="21"/>
        </w:rPr>
        <w:t>张～</w:t>
      </w:r>
      <w:r>
        <w:rPr>
          <w:rFonts w:ascii="Times New Roman" w:hAnsi="Times New Roman" w:cs="Times New Roman" w:hint="eastAsia"/>
          <w:kern w:val="0"/>
          <w:szCs w:val="21"/>
        </w:rPr>
        <w:t>30</w:t>
      </w:r>
      <w:r>
        <w:rPr>
          <w:rFonts w:ascii="Times New Roman" w:hAnsi="Times New Roman" w:cs="Times New Roman" w:hint="eastAsia"/>
          <w:kern w:val="0"/>
          <w:szCs w:val="21"/>
        </w:rPr>
        <w:t>张，</w:t>
      </w:r>
      <w:r w:rsidR="00794E50">
        <w:rPr>
          <w:rFonts w:ascii="Times New Roman" w:hAnsi="Times New Roman" w:cs="Times New Roman" w:hint="eastAsia"/>
          <w:kern w:val="0"/>
          <w:szCs w:val="21"/>
        </w:rPr>
        <w:t>悬挂</w:t>
      </w:r>
      <w:r w:rsidR="00A9036E">
        <w:rPr>
          <w:rFonts w:ascii="Times New Roman" w:hAnsi="Times New Roman" w:cs="Times New Roman" w:hint="eastAsia"/>
          <w:kern w:val="0"/>
          <w:szCs w:val="21"/>
        </w:rPr>
        <w:t>高度为</w:t>
      </w:r>
      <w:r>
        <w:rPr>
          <w:rFonts w:ascii="Times New Roman" w:hAnsi="Times New Roman" w:cs="Times New Roman" w:hint="eastAsia"/>
          <w:kern w:val="0"/>
          <w:szCs w:val="21"/>
        </w:rPr>
        <w:t>苗期高出植株顶部</w:t>
      </w:r>
      <w:r>
        <w:rPr>
          <w:rFonts w:ascii="Times New Roman" w:hAnsi="Times New Roman" w:cs="Times New Roman" w:hint="eastAsia"/>
          <w:kern w:val="0"/>
          <w:szCs w:val="21"/>
        </w:rPr>
        <w:t>15 cm</w:t>
      </w:r>
      <w:r>
        <w:rPr>
          <w:rFonts w:ascii="Times New Roman" w:hAnsi="Times New Roman" w:cs="Times New Roman" w:hint="eastAsia"/>
          <w:kern w:val="0"/>
          <w:szCs w:val="21"/>
        </w:rPr>
        <w:t>～</w:t>
      </w:r>
      <w:r>
        <w:rPr>
          <w:rFonts w:ascii="Times New Roman" w:hAnsi="Times New Roman" w:cs="Times New Roman" w:hint="eastAsia"/>
          <w:kern w:val="0"/>
          <w:szCs w:val="21"/>
        </w:rPr>
        <w:t>20 cm</w:t>
      </w:r>
      <w:r>
        <w:rPr>
          <w:rFonts w:ascii="Times New Roman" w:hAnsi="Times New Roman" w:cs="Times New Roman" w:hint="eastAsia"/>
          <w:kern w:val="0"/>
          <w:szCs w:val="21"/>
        </w:rPr>
        <w:t>，生长中后期悬挂在植株中上部；使用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频振式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杀虫灯等防治害虫时应符合</w:t>
      </w:r>
      <w:r>
        <w:rPr>
          <w:rFonts w:ascii="Times New Roman" w:hAnsi="Times New Roman" w:cs="Times New Roman" w:hint="eastAsia"/>
          <w:kern w:val="0"/>
          <w:szCs w:val="21"/>
        </w:rPr>
        <w:t>NY/T 3697</w:t>
      </w:r>
      <w:r>
        <w:rPr>
          <w:rFonts w:ascii="Times New Roman" w:hAnsi="Times New Roman" w:cs="Times New Roman" w:hint="eastAsia"/>
          <w:kern w:val="0"/>
          <w:szCs w:val="21"/>
        </w:rPr>
        <w:t>的规定；草害防治宜采用机械旋耕或人工除草方式进行，覆盖黑色或银灰色地膜也可以减少草害的发生。</w:t>
      </w:r>
    </w:p>
    <w:p w:rsidR="007D264D" w:rsidRDefault="00C93681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8.3.3</w:t>
      </w:r>
      <w:r>
        <w:rPr>
          <w:rFonts w:hAnsi="黑体" w:cs="黑体"/>
        </w:rPr>
        <w:t xml:space="preserve"> </w:t>
      </w:r>
      <w:r>
        <w:rPr>
          <w:rFonts w:hint="eastAsia"/>
        </w:rPr>
        <w:t>生物防治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ascii="Times New Roman" w:hAnsi="Times New Roman" w:cs="Times New Roman" w:hint="eastAsia"/>
          <w:kern w:val="0"/>
          <w:szCs w:val="21"/>
        </w:rPr>
        <w:t>利用瓢虫、草蛉、丽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蚜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小蜂等昆虫捕食害虫；使用生物农药，</w:t>
      </w:r>
      <w:bookmarkStart w:id="6" w:name="OLE_LINK73"/>
      <w:bookmarkStart w:id="7" w:name="OLE_LINK74"/>
      <w:r>
        <w:rPr>
          <w:rFonts w:ascii="Times New Roman" w:hAnsi="Times New Roman" w:cs="Times New Roman" w:hint="eastAsia"/>
          <w:kern w:val="0"/>
          <w:szCs w:val="21"/>
        </w:rPr>
        <w:t>苦参碱</w:t>
      </w:r>
      <w:bookmarkEnd w:id="6"/>
      <w:bookmarkEnd w:id="7"/>
      <w:r>
        <w:rPr>
          <w:rFonts w:ascii="Times New Roman" w:hAnsi="Times New Roman" w:cs="Times New Roman" w:hint="eastAsia"/>
          <w:kern w:val="0"/>
          <w:szCs w:val="21"/>
        </w:rPr>
        <w:t>防治蚜虫</w:t>
      </w:r>
      <w:r w:rsidR="00DC0549">
        <w:rPr>
          <w:rFonts w:ascii="Times New Roman" w:hAnsi="Times New Roman" w:cs="Times New Roman" w:hint="eastAsia"/>
          <w:kern w:val="0"/>
          <w:szCs w:val="21"/>
        </w:rPr>
        <w:t>、</w:t>
      </w:r>
      <w:proofErr w:type="gramStart"/>
      <w:r w:rsidR="00DC0549">
        <w:rPr>
          <w:rFonts w:ascii="Times New Roman" w:hAnsi="Times New Roman" w:cs="Times New Roman"/>
          <w:kern w:val="0"/>
          <w:szCs w:val="21"/>
        </w:rPr>
        <w:t>蓟</w:t>
      </w:r>
      <w:proofErr w:type="gramEnd"/>
      <w:r w:rsidR="00DC0549">
        <w:rPr>
          <w:rFonts w:ascii="Times New Roman" w:hAnsi="Times New Roman" w:cs="Times New Roman"/>
          <w:kern w:val="0"/>
          <w:szCs w:val="21"/>
        </w:rPr>
        <w:t>马等</w:t>
      </w:r>
      <w:r>
        <w:rPr>
          <w:rFonts w:ascii="Times New Roman" w:hAnsi="Times New Roman" w:cs="Times New Roman" w:hint="eastAsia"/>
          <w:kern w:val="0"/>
          <w:szCs w:val="21"/>
        </w:rPr>
        <w:t>；</w:t>
      </w:r>
      <w:bookmarkStart w:id="8" w:name="OLE_LINK75"/>
      <w:bookmarkStart w:id="9" w:name="OLE_LINK76"/>
      <w:bookmarkStart w:id="10" w:name="OLE_LINK3"/>
      <w:bookmarkStart w:id="11" w:name="OLE_LINK16"/>
      <w:r>
        <w:rPr>
          <w:rFonts w:ascii="Times New Roman" w:hAnsi="Times New Roman" w:cs="Times New Roman" w:hint="eastAsia"/>
          <w:kern w:val="0"/>
          <w:szCs w:val="21"/>
        </w:rPr>
        <w:t>苏云金杆菌</w:t>
      </w:r>
      <w:bookmarkEnd w:id="8"/>
      <w:bookmarkEnd w:id="9"/>
      <w:bookmarkEnd w:id="10"/>
      <w:bookmarkEnd w:id="11"/>
      <w:r>
        <w:rPr>
          <w:rFonts w:ascii="Times New Roman" w:hAnsi="Times New Roman" w:cs="Times New Roman" w:hint="eastAsia"/>
          <w:kern w:val="0"/>
          <w:szCs w:val="21"/>
        </w:rPr>
        <w:t>防治</w:t>
      </w:r>
      <w:bookmarkStart w:id="12" w:name="OLE_LINK4"/>
      <w:bookmarkStart w:id="13" w:name="OLE_LINK5"/>
      <w:r>
        <w:rPr>
          <w:rFonts w:ascii="Times New Roman" w:hAnsi="Times New Roman" w:cs="Times New Roman" w:hint="eastAsia"/>
          <w:kern w:val="0"/>
          <w:szCs w:val="21"/>
        </w:rPr>
        <w:t>豆荚螟</w:t>
      </w:r>
      <w:bookmarkEnd w:id="12"/>
      <w:bookmarkEnd w:id="13"/>
      <w:r>
        <w:rPr>
          <w:rFonts w:ascii="Times New Roman" w:hAnsi="Times New Roman" w:cs="Times New Roman" w:hint="eastAsia"/>
          <w:kern w:val="0"/>
          <w:szCs w:val="21"/>
        </w:rPr>
        <w:t>等。</w:t>
      </w:r>
    </w:p>
    <w:p w:rsidR="007D264D" w:rsidRDefault="00C93681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8.3.4</w:t>
      </w:r>
      <w:r>
        <w:rPr>
          <w:rFonts w:hAnsi="黑体" w:cs="黑体"/>
        </w:rPr>
        <w:t xml:space="preserve"> </w:t>
      </w:r>
      <w:r>
        <w:rPr>
          <w:rFonts w:hint="eastAsia"/>
        </w:rPr>
        <w:t>化学防治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农药使用严格遵循</w:t>
      </w:r>
      <w:r>
        <w:rPr>
          <w:rFonts w:ascii="Times New Roman" w:hAnsi="Times New Roman" w:cs="Times New Roman"/>
          <w:kern w:val="0"/>
          <w:szCs w:val="21"/>
        </w:rPr>
        <w:t>NY/T 393</w:t>
      </w:r>
      <w:r>
        <w:rPr>
          <w:rFonts w:ascii="Times New Roman" w:hAnsi="Times New Roman" w:cs="Times New Roman"/>
          <w:kern w:val="0"/>
          <w:szCs w:val="21"/>
        </w:rPr>
        <w:t>的规定。加强病虫预测预报，找准防治适期，科学用药防治，提倡使用高效、低毒、低残留</w:t>
      </w:r>
      <w:r>
        <w:rPr>
          <w:rFonts w:ascii="Times New Roman" w:hAnsi="Times New Roman" w:cs="Times New Roman" w:hint="eastAsia"/>
          <w:kern w:val="0"/>
          <w:szCs w:val="21"/>
        </w:rPr>
        <w:t>、环境友好型</w:t>
      </w:r>
      <w:r>
        <w:rPr>
          <w:rFonts w:ascii="Times New Roman" w:hAnsi="Times New Roman" w:cs="Times New Roman"/>
          <w:kern w:val="0"/>
          <w:szCs w:val="21"/>
        </w:rPr>
        <w:t>农药，提倡兼治和不同作用机理农药交替使用，严格执行农药安全间隔期，推广使用新型高效施药器械。</w:t>
      </w:r>
      <w:r>
        <w:rPr>
          <w:rFonts w:ascii="Times New Roman" w:hAnsi="Times New Roman" w:cs="Times New Roman" w:hint="eastAsia"/>
          <w:kern w:val="0"/>
          <w:szCs w:val="21"/>
        </w:rPr>
        <w:t>注意轮换用药，合理混用。绿色食品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露地油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豆角生产</w:t>
      </w:r>
      <w:r>
        <w:rPr>
          <w:rFonts w:ascii="Times New Roman" w:hAnsi="Times New Roman" w:cs="Times New Roman"/>
          <w:kern w:val="0"/>
          <w:szCs w:val="21"/>
        </w:rPr>
        <w:t>主要病虫害</w:t>
      </w:r>
      <w:r>
        <w:rPr>
          <w:rFonts w:ascii="Times New Roman" w:hAnsi="Times New Roman" w:cs="Times New Roman" w:hint="eastAsia"/>
          <w:kern w:val="0"/>
          <w:szCs w:val="21"/>
        </w:rPr>
        <w:t>防治推荐农药</w:t>
      </w:r>
      <w:r>
        <w:rPr>
          <w:rFonts w:ascii="Times New Roman" w:hAnsi="Times New Roman" w:cs="Times New Roman"/>
          <w:kern w:val="0"/>
          <w:szCs w:val="21"/>
        </w:rPr>
        <w:t>使用方案见附录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9 采收</w:t>
      </w:r>
    </w:p>
    <w:p w:rsidR="007D264D" w:rsidRDefault="00C93681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 xml:space="preserve">9.1 </w:t>
      </w:r>
      <w:r>
        <w:rPr>
          <w:rFonts w:cs="黑体"/>
        </w:rPr>
        <w:t>采收时间</w:t>
      </w:r>
    </w:p>
    <w:p w:rsidR="007D264D" w:rsidRDefault="00C93681">
      <w:pPr>
        <w:pStyle w:val="a5"/>
        <w:ind w:firstLine="420"/>
        <w:rPr>
          <w:lang w:eastAsia="zh-CN"/>
        </w:rPr>
      </w:pPr>
      <w:r>
        <w:rPr>
          <w:rFonts w:cs="Times New Roman" w:hint="eastAsia"/>
          <w:kern w:val="0"/>
        </w:rPr>
        <w:t>果实达到商品成熟，即荚果饱满、子粒微显、线条直、无畸形时即可采收</w:t>
      </w:r>
      <w:r>
        <w:rPr>
          <w:rFonts w:cs="Times New Roman" w:hint="eastAsia"/>
          <w:kern w:val="0"/>
          <w:lang w:eastAsia="zh-CN"/>
        </w:rPr>
        <w:t>，</w:t>
      </w:r>
      <w:r>
        <w:rPr>
          <w:rFonts w:cs="Times New Roman" w:hint="eastAsia"/>
          <w:kern w:val="0"/>
        </w:rPr>
        <w:t>采收嫩荚宜在傍晚进行</w:t>
      </w:r>
      <w:r>
        <w:rPr>
          <w:rFonts w:cs="Times New Roman" w:hint="eastAsia"/>
          <w:kern w:val="0"/>
          <w:lang w:eastAsia="zh-CN"/>
        </w:rPr>
        <w:t>。</w:t>
      </w:r>
    </w:p>
    <w:p w:rsidR="007D264D" w:rsidRPr="009659A0" w:rsidRDefault="00C93681">
      <w:pPr>
        <w:pStyle w:val="2"/>
        <w:adjustRightInd w:val="0"/>
        <w:snapToGrid w:val="0"/>
        <w:jc w:val="both"/>
        <w:rPr>
          <w:rFonts w:cs="黑体" w:hint="default"/>
          <w:lang w:val="hu-HU"/>
        </w:rPr>
      </w:pPr>
      <w:r w:rsidRPr="009659A0">
        <w:rPr>
          <w:rFonts w:cs="黑体"/>
          <w:szCs w:val="21"/>
          <w:lang w:val="hu-HU"/>
        </w:rPr>
        <w:t>9.2 采收方法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 w:rsidRPr="009659A0">
        <w:rPr>
          <w:rFonts w:ascii="Times New Roman" w:hAnsi="Times New Roman" w:cs="Times New Roman" w:hint="eastAsia"/>
          <w:kern w:val="0"/>
          <w:szCs w:val="21"/>
          <w:lang w:val="hu-HU"/>
        </w:rPr>
        <w:t>可用工具采摘。</w:t>
      </w:r>
      <w:r>
        <w:rPr>
          <w:rFonts w:ascii="Times New Roman" w:hAnsi="Times New Roman" w:cs="Times New Roman" w:hint="eastAsia"/>
          <w:kern w:val="0"/>
          <w:szCs w:val="21"/>
        </w:rPr>
        <w:t>3 d</w:t>
      </w:r>
      <w:r>
        <w:rPr>
          <w:rFonts w:ascii="Times New Roman" w:hAnsi="Times New Roman" w:cs="Times New Roman" w:hint="eastAsia"/>
          <w:kern w:val="0"/>
          <w:szCs w:val="21"/>
        </w:rPr>
        <w:t>～</w:t>
      </w:r>
      <w:r>
        <w:rPr>
          <w:rFonts w:ascii="Times New Roman" w:hAnsi="Times New Roman" w:cs="Times New Roman" w:hint="eastAsia"/>
          <w:kern w:val="0"/>
          <w:szCs w:val="21"/>
        </w:rPr>
        <w:t>5 d</w:t>
      </w:r>
      <w:r>
        <w:rPr>
          <w:rFonts w:ascii="Times New Roman" w:hAnsi="Times New Roman" w:cs="Times New Roman" w:hint="eastAsia"/>
          <w:kern w:val="0"/>
          <w:szCs w:val="21"/>
        </w:rPr>
        <w:t>天采收一次，采收时注意保护花蕾和秧蔓。采收过程中所用工</w:t>
      </w:r>
      <w:r>
        <w:rPr>
          <w:rFonts w:ascii="Times New Roman" w:hAnsi="Times New Roman" w:cs="Times New Roman" w:hint="eastAsia"/>
          <w:kern w:val="0"/>
          <w:szCs w:val="21"/>
        </w:rPr>
        <w:lastRenderedPageBreak/>
        <w:t>具要清洁、卫生、无污染。</w:t>
      </w:r>
    </w:p>
    <w:p w:rsidR="007D264D" w:rsidRDefault="00C93681">
      <w:pPr>
        <w:pStyle w:val="2"/>
        <w:adjustRightInd w:val="0"/>
        <w:snapToGrid w:val="0"/>
        <w:jc w:val="both"/>
        <w:rPr>
          <w:rFonts w:ascii="Times New Roman" w:hAnsi="Times New Roman" w:hint="default"/>
          <w:szCs w:val="21"/>
        </w:rPr>
      </w:pPr>
      <w:r>
        <w:rPr>
          <w:rFonts w:cs="黑体"/>
          <w:szCs w:val="21"/>
        </w:rPr>
        <w:t>9.3 收后包装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采收后装入</w:t>
      </w:r>
      <w:r>
        <w:rPr>
          <w:rFonts w:ascii="Times New Roman" w:hAnsi="Times New Roman" w:cs="Times New Roman" w:hint="eastAsia"/>
          <w:kern w:val="0"/>
          <w:szCs w:val="21"/>
        </w:rPr>
        <w:t>50 cm</w:t>
      </w:r>
      <w:r>
        <w:rPr>
          <w:rFonts w:ascii="Times New Roman" w:hAnsi="Times New Roman" w:cs="Times New Roman" w:hint="eastAsia"/>
          <w:kern w:val="0"/>
          <w:szCs w:val="21"/>
        </w:rPr>
        <w:t>×</w:t>
      </w:r>
      <w:r>
        <w:rPr>
          <w:rFonts w:ascii="Times New Roman" w:hAnsi="Times New Roman" w:cs="Times New Roman" w:hint="eastAsia"/>
          <w:kern w:val="0"/>
          <w:szCs w:val="21"/>
        </w:rPr>
        <w:t>80 cm</w:t>
      </w:r>
      <w:r>
        <w:rPr>
          <w:rFonts w:ascii="Times New Roman" w:hAnsi="Times New Roman" w:cs="Times New Roman" w:hint="eastAsia"/>
          <w:kern w:val="0"/>
          <w:szCs w:val="21"/>
        </w:rPr>
        <w:t>的网袋。商品化包装的应符合</w:t>
      </w:r>
      <w:r>
        <w:rPr>
          <w:rFonts w:ascii="Times New Roman" w:hAnsi="Times New Roman" w:cs="Times New Roman" w:hint="eastAsia"/>
          <w:kern w:val="0"/>
          <w:szCs w:val="21"/>
        </w:rPr>
        <w:t>GB 7718</w:t>
      </w:r>
      <w:r>
        <w:rPr>
          <w:rFonts w:ascii="Times New Roman" w:hAnsi="Times New Roman" w:cs="Times New Roman" w:hint="eastAsia"/>
          <w:kern w:val="0"/>
          <w:szCs w:val="21"/>
        </w:rPr>
        <w:t>、</w:t>
      </w:r>
      <w:r>
        <w:rPr>
          <w:rFonts w:ascii="Times New Roman" w:hAnsi="Times New Roman" w:cs="Times New Roman" w:hint="eastAsia"/>
          <w:kern w:val="0"/>
          <w:szCs w:val="21"/>
        </w:rPr>
        <w:t>NY/T 658</w:t>
      </w:r>
      <w:r>
        <w:rPr>
          <w:rFonts w:ascii="Times New Roman" w:hAnsi="Times New Roman" w:cs="Times New Roman" w:hint="eastAsia"/>
          <w:kern w:val="0"/>
          <w:szCs w:val="21"/>
        </w:rPr>
        <w:t>和</w:t>
      </w:r>
      <w:r>
        <w:rPr>
          <w:rFonts w:ascii="Times New Roman" w:hAnsi="Times New Roman" w:cs="Times New Roman" w:hint="eastAsia"/>
          <w:kern w:val="0"/>
          <w:szCs w:val="21"/>
        </w:rPr>
        <w:t>NY/T 1655</w:t>
      </w:r>
      <w:r>
        <w:rPr>
          <w:rFonts w:ascii="Times New Roman" w:hAnsi="Times New Roman" w:cs="Times New Roman" w:hint="eastAsia"/>
          <w:kern w:val="0"/>
          <w:szCs w:val="21"/>
        </w:rPr>
        <w:t>的规定。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10 生产废弃物的处理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地膜、农药、化肥包装等废弃物不能随意丢弃，应该集中起来进行无害化处理或回收循环利用。秸秆、落叶可以作为饲料综合利用，也可以和粪肥一起堆积发酵还田</w:t>
      </w:r>
      <w:r>
        <w:rPr>
          <w:rFonts w:ascii="宋体" w:eastAsia="宋体" w:hAnsi="宋体" w:cs="宋体" w:hint="eastAsia"/>
          <w:szCs w:val="21"/>
        </w:rPr>
        <w:t>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11 储藏与</w:t>
      </w:r>
      <w:r>
        <w:t>运输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采收后放在阴凉干燥通风处暂储，及时销售。宜专用车辆运输，运输前应彻底清扫、清洗车厢。储运过程应符合</w:t>
      </w:r>
      <w:r>
        <w:rPr>
          <w:rFonts w:ascii="Times New Roman" w:hAnsi="Times New Roman" w:cs="Times New Roman" w:hint="eastAsia"/>
          <w:kern w:val="0"/>
          <w:szCs w:val="21"/>
        </w:rPr>
        <w:t>NY/T 1056</w:t>
      </w:r>
      <w:r>
        <w:rPr>
          <w:rFonts w:ascii="Times New Roman" w:hAnsi="Times New Roman" w:cs="Times New Roman" w:hint="eastAsia"/>
          <w:kern w:val="0"/>
          <w:szCs w:val="21"/>
        </w:rPr>
        <w:t>的规定。</w:t>
      </w:r>
    </w:p>
    <w:p w:rsidR="007D264D" w:rsidRDefault="00C93681">
      <w:pPr>
        <w:pStyle w:val="1"/>
        <w:adjustRightInd w:val="0"/>
        <w:snapToGrid w:val="0"/>
      </w:pPr>
      <w:r>
        <w:rPr>
          <w:rFonts w:hint="eastAsia"/>
        </w:rPr>
        <w:t>12 生产档案管理</w:t>
      </w:r>
    </w:p>
    <w:p w:rsidR="007D264D" w:rsidRDefault="00C93681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要</w:t>
      </w:r>
      <w:r>
        <w:t>建立绿色食品</w:t>
      </w:r>
      <w:proofErr w:type="gramStart"/>
      <w:r>
        <w:rPr>
          <w:rFonts w:hint="eastAsia"/>
        </w:rPr>
        <w:t>露地油</w:t>
      </w:r>
      <w:proofErr w:type="gramEnd"/>
      <w:r>
        <w:rPr>
          <w:rFonts w:hint="eastAsia"/>
        </w:rPr>
        <w:t>豆角</w:t>
      </w:r>
      <w:r>
        <w:t>生产档案。</w:t>
      </w:r>
      <w:r>
        <w:rPr>
          <w:rFonts w:hint="eastAsia"/>
        </w:rPr>
        <w:t>记录内容包括：地块档案、整地、播种、定植、灌溉、施肥、病虫草害防治、采收、运输</w:t>
      </w:r>
      <w:r w:rsidR="00ED22F8">
        <w:rPr>
          <w:rFonts w:hint="eastAsia"/>
        </w:rPr>
        <w:t>储藏</w:t>
      </w:r>
      <w:r>
        <w:rPr>
          <w:rFonts w:hint="eastAsia"/>
        </w:rPr>
        <w:t>和销售记录</w:t>
      </w:r>
      <w:r>
        <w:t>等情况</w:t>
      </w:r>
      <w:r>
        <w:rPr>
          <w:rFonts w:hint="eastAsia"/>
        </w:rPr>
        <w:t>，记录保存三年以上。做到农产品生产可追溯。</w:t>
      </w:r>
      <w:r>
        <w:rPr>
          <w:b/>
        </w:rPr>
        <w:br w:type="page"/>
      </w:r>
    </w:p>
    <w:p w:rsidR="007D264D" w:rsidRDefault="007D264D">
      <w:pPr>
        <w:spacing w:line="400" w:lineRule="atLeast"/>
        <w:ind w:firstLineChars="200" w:firstLine="420"/>
        <w:contextualSpacing/>
        <w:jc w:val="center"/>
        <w:rPr>
          <w:rFonts w:ascii="黑体" w:eastAsia="黑体" w:hAnsi="Times New Roman" w:cs="Times New Roman"/>
          <w:kern w:val="0"/>
          <w:szCs w:val="21"/>
        </w:rPr>
      </w:pPr>
    </w:p>
    <w:p w:rsidR="007D264D" w:rsidRDefault="00C93681">
      <w:pPr>
        <w:pStyle w:val="1"/>
        <w:adjustRightInd w:val="0"/>
        <w:snapToGrid w:val="0"/>
        <w:jc w:val="center"/>
        <w:rPr>
          <w:rFonts w:hAnsi="Times New Roman" w:cs="Times New Roman"/>
          <w:kern w:val="0"/>
        </w:rPr>
      </w:pPr>
      <w:r>
        <w:rPr>
          <w:rFonts w:hAnsi="Times New Roman" w:cs="Times New Roman" w:hint="eastAsia"/>
          <w:kern w:val="0"/>
        </w:rPr>
        <w:t>附录A</w:t>
      </w:r>
    </w:p>
    <w:p w:rsidR="007D264D" w:rsidRDefault="00C93681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:rsidR="007D264D" w:rsidRDefault="00C93681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东北地区 绿色食品</w:t>
      </w:r>
      <w:proofErr w:type="gramStart"/>
      <w:r>
        <w:rPr>
          <w:rFonts w:ascii="黑体" w:eastAsia="黑体" w:hAnsi="Times New Roman" w:cs="Times New Roman" w:hint="eastAsia"/>
          <w:kern w:val="0"/>
          <w:szCs w:val="21"/>
        </w:rPr>
        <w:t>露地油</w:t>
      </w:r>
      <w:proofErr w:type="gramEnd"/>
      <w:r>
        <w:rPr>
          <w:rFonts w:ascii="黑体" w:eastAsia="黑体" w:hAnsi="Times New Roman" w:cs="Times New Roman" w:hint="eastAsia"/>
          <w:kern w:val="0"/>
          <w:szCs w:val="21"/>
        </w:rPr>
        <w:t>豆角生产主要病虫害防治推荐农药使用方案</w:t>
      </w:r>
    </w:p>
    <w:p w:rsidR="007D264D" w:rsidRDefault="007D264D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</w:p>
    <w:p w:rsidR="00ED22F8" w:rsidRPr="00DD6C1C" w:rsidRDefault="00ED22F8" w:rsidP="00DD6C1C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 w:cs="Times New Roman"/>
          <w:kern w:val="0"/>
          <w:szCs w:val="21"/>
        </w:rPr>
      </w:pPr>
      <w:r w:rsidRPr="00DD6C1C">
        <w:rPr>
          <w:rFonts w:asciiTheme="minorEastAsia" w:hAnsiTheme="minorEastAsia" w:cs="Times New Roman" w:hint="eastAsia"/>
          <w:kern w:val="0"/>
          <w:szCs w:val="21"/>
        </w:rPr>
        <w:t>东北地区</w:t>
      </w:r>
      <w:r w:rsidRPr="00DD6C1C">
        <w:rPr>
          <w:rFonts w:asciiTheme="minorEastAsia" w:hAnsiTheme="minorEastAsia" w:cs="Times New Roman"/>
          <w:kern w:val="0"/>
          <w:szCs w:val="21"/>
        </w:rPr>
        <w:t xml:space="preserve"> </w:t>
      </w:r>
      <w:r w:rsidRPr="00DD6C1C">
        <w:rPr>
          <w:rFonts w:asciiTheme="minorEastAsia" w:hAnsiTheme="minorEastAsia" w:cs="Times New Roman" w:hint="eastAsia"/>
          <w:kern w:val="0"/>
          <w:szCs w:val="21"/>
        </w:rPr>
        <w:t>绿色食品</w:t>
      </w:r>
      <w:proofErr w:type="gramStart"/>
      <w:r w:rsidRPr="00DD6C1C">
        <w:rPr>
          <w:rFonts w:asciiTheme="minorEastAsia" w:hAnsiTheme="minorEastAsia" w:cs="Times New Roman" w:hint="eastAsia"/>
          <w:kern w:val="0"/>
          <w:szCs w:val="21"/>
        </w:rPr>
        <w:t>露地油</w:t>
      </w:r>
      <w:proofErr w:type="gramEnd"/>
      <w:r w:rsidRPr="00DD6C1C">
        <w:rPr>
          <w:rFonts w:asciiTheme="minorEastAsia" w:hAnsiTheme="minorEastAsia" w:cs="Times New Roman" w:hint="eastAsia"/>
          <w:kern w:val="0"/>
          <w:szCs w:val="21"/>
        </w:rPr>
        <w:t>豆角生产主要病虫害防治推荐农药使用方案见表A.1。</w:t>
      </w:r>
    </w:p>
    <w:p w:rsidR="00ED22F8" w:rsidRDefault="00ED22F8" w:rsidP="00AB1E1E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表A.1 东北地区 绿色食品</w:t>
      </w:r>
      <w:proofErr w:type="gramStart"/>
      <w:r>
        <w:rPr>
          <w:rFonts w:ascii="黑体" w:eastAsia="黑体" w:hAnsi="Times New Roman" w:cs="Times New Roman" w:hint="eastAsia"/>
          <w:kern w:val="0"/>
          <w:szCs w:val="21"/>
        </w:rPr>
        <w:t>露地油</w:t>
      </w:r>
      <w:proofErr w:type="gramEnd"/>
      <w:r>
        <w:rPr>
          <w:rFonts w:ascii="黑体" w:eastAsia="黑体" w:hAnsi="Times New Roman" w:cs="Times New Roman" w:hint="eastAsia"/>
          <w:kern w:val="0"/>
          <w:szCs w:val="21"/>
        </w:rPr>
        <w:t>豆角生产主要病虫害防治推荐农药使用方案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067"/>
        <w:gridCol w:w="2065"/>
        <w:gridCol w:w="1664"/>
        <w:gridCol w:w="1063"/>
        <w:gridCol w:w="1280"/>
      </w:tblGrid>
      <w:tr w:rsidR="007D264D" w:rsidTr="00DD6C1C">
        <w:trPr>
          <w:trHeight w:val="454"/>
          <w:jc w:val="center"/>
        </w:trPr>
        <w:tc>
          <w:tcPr>
            <w:tcW w:w="68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防治对象</w:t>
            </w:r>
          </w:p>
        </w:tc>
        <w:tc>
          <w:tcPr>
            <w:tcW w:w="645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防治时期</w:t>
            </w:r>
          </w:p>
        </w:tc>
        <w:tc>
          <w:tcPr>
            <w:tcW w:w="1249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农药名称</w:t>
            </w:r>
          </w:p>
        </w:tc>
        <w:tc>
          <w:tcPr>
            <w:tcW w:w="1006" w:type="pct"/>
            <w:vAlign w:val="center"/>
          </w:tcPr>
          <w:p w:rsidR="007D264D" w:rsidRDefault="00AB1E1E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使用量</w:t>
            </w:r>
          </w:p>
        </w:tc>
        <w:tc>
          <w:tcPr>
            <w:tcW w:w="64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使用方法</w:t>
            </w:r>
          </w:p>
        </w:tc>
        <w:tc>
          <w:tcPr>
            <w:tcW w:w="774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安全间隔期（天）</w:t>
            </w:r>
          </w:p>
        </w:tc>
      </w:tr>
      <w:tr w:rsidR="007D264D" w:rsidTr="00DD6C1C">
        <w:trPr>
          <w:trHeight w:val="567"/>
          <w:jc w:val="center"/>
        </w:trPr>
        <w:tc>
          <w:tcPr>
            <w:tcW w:w="68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锈病</w:t>
            </w:r>
          </w:p>
        </w:tc>
        <w:tc>
          <w:tcPr>
            <w:tcW w:w="645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结荚期</w:t>
            </w:r>
          </w:p>
        </w:tc>
        <w:tc>
          <w:tcPr>
            <w:tcW w:w="1249" w:type="pct"/>
            <w:vAlign w:val="center"/>
          </w:tcPr>
          <w:p w:rsidR="007D264D" w:rsidRDefault="00ED22F8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bookmarkStart w:id="14" w:name="OLE_LINK6"/>
            <w:bookmarkStart w:id="15" w:name="OLE_LINK7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10%</w:t>
            </w:r>
            <w:r w:rsidR="00C93681">
              <w:rPr>
                <w:rFonts w:ascii="Times New Roman" w:hAnsi="Times New Roman" w:cs="Times New Roman"/>
                <w:kern w:val="0"/>
                <w:szCs w:val="21"/>
              </w:rPr>
              <w:t>苯</w:t>
            </w:r>
            <w:proofErr w:type="gramStart"/>
            <w:r w:rsidR="00C93681">
              <w:rPr>
                <w:rFonts w:ascii="Times New Roman" w:hAnsi="Times New Roman" w:cs="Times New Roman"/>
                <w:kern w:val="0"/>
                <w:szCs w:val="21"/>
              </w:rPr>
              <w:t>醚甲环唑</w:t>
            </w:r>
            <w:bookmarkEnd w:id="14"/>
            <w:bookmarkEnd w:id="15"/>
            <w:proofErr w:type="gramEnd"/>
            <w:r w:rsidRPr="00ED22F8">
              <w:rPr>
                <w:rFonts w:ascii="Times New Roman" w:hAnsi="Times New Roman" w:cs="Times New Roman" w:hint="eastAsia"/>
                <w:kern w:val="0"/>
                <w:szCs w:val="21"/>
              </w:rPr>
              <w:t>水分散粒剂</w:t>
            </w:r>
          </w:p>
        </w:tc>
        <w:tc>
          <w:tcPr>
            <w:tcW w:w="1006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65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80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  <w:r w:rsidR="00442CB8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="00442CB8">
              <w:rPr>
                <w:rFonts w:ascii="Times New Roman" w:hAnsi="Times New Roman" w:cs="Times New Roman" w:hint="eastAsia"/>
                <w:kern w:val="0"/>
                <w:szCs w:val="21"/>
              </w:rPr>
              <w:t>亩</w:t>
            </w:r>
          </w:p>
        </w:tc>
        <w:tc>
          <w:tcPr>
            <w:tcW w:w="64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774" w:type="pct"/>
            <w:vAlign w:val="center"/>
          </w:tcPr>
          <w:p w:rsidR="007D264D" w:rsidRDefault="00ED22F8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</w:t>
            </w:r>
          </w:p>
        </w:tc>
      </w:tr>
      <w:tr w:rsidR="007D264D" w:rsidTr="00DD6C1C">
        <w:trPr>
          <w:trHeight w:val="567"/>
          <w:jc w:val="center"/>
        </w:trPr>
        <w:tc>
          <w:tcPr>
            <w:tcW w:w="68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白粉病</w:t>
            </w:r>
          </w:p>
        </w:tc>
        <w:tc>
          <w:tcPr>
            <w:tcW w:w="645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结荚期</w:t>
            </w:r>
          </w:p>
        </w:tc>
        <w:tc>
          <w:tcPr>
            <w:tcW w:w="1249" w:type="pct"/>
            <w:vAlign w:val="center"/>
          </w:tcPr>
          <w:p w:rsidR="007D264D" w:rsidRDefault="00ED22F8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bookmarkStart w:id="16" w:name="OLE_LINK8"/>
            <w:bookmarkStart w:id="17" w:name="OLE_LINK9"/>
            <w:r w:rsidRPr="00ED22F8">
              <w:rPr>
                <w:rFonts w:ascii="Times New Roman" w:hAnsi="Times New Roman" w:cs="Times New Roman" w:hint="eastAsia"/>
                <w:kern w:val="0"/>
                <w:szCs w:val="21"/>
              </w:rPr>
              <w:t>400</w:t>
            </w:r>
            <w:r w:rsidRPr="00ED22F8">
              <w:rPr>
                <w:rFonts w:ascii="Times New Roman" w:hAnsi="Times New Roman" w:cs="Times New Roman" w:hint="eastAsia"/>
                <w:kern w:val="0"/>
                <w:szCs w:val="21"/>
              </w:rPr>
              <w:t>克</w:t>
            </w:r>
            <w:r w:rsidRPr="00ED22F8">
              <w:rPr>
                <w:rFonts w:ascii="Times New Roman" w:hAnsi="Times New Roman" w:cs="Times New Roman" w:hint="eastAsia"/>
                <w:kern w:val="0"/>
                <w:szCs w:val="21"/>
              </w:rPr>
              <w:t>/</w:t>
            </w:r>
            <w:proofErr w:type="gramStart"/>
            <w:r w:rsidRPr="00ED22F8">
              <w:rPr>
                <w:rFonts w:ascii="Times New Roman" w:hAnsi="Times New Roman" w:cs="Times New Roman" w:hint="eastAsia"/>
                <w:kern w:val="0"/>
                <w:szCs w:val="21"/>
              </w:rPr>
              <w:t>升</w:t>
            </w:r>
            <w:r w:rsidR="00C93681">
              <w:rPr>
                <w:rFonts w:ascii="Times New Roman" w:hAnsi="Times New Roman" w:cs="Times New Roman"/>
                <w:kern w:val="0"/>
                <w:szCs w:val="21"/>
              </w:rPr>
              <w:t>氟硅唑</w:t>
            </w:r>
            <w:bookmarkEnd w:id="16"/>
            <w:bookmarkEnd w:id="17"/>
            <w:proofErr w:type="gram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乳油</w:t>
            </w:r>
          </w:p>
        </w:tc>
        <w:tc>
          <w:tcPr>
            <w:tcW w:w="1006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7.5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9.3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  <w:r w:rsidR="00442CB8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="00442CB8">
              <w:rPr>
                <w:rFonts w:ascii="Times New Roman" w:hAnsi="Times New Roman" w:cs="Times New Roman" w:hint="eastAsia"/>
                <w:kern w:val="0"/>
                <w:szCs w:val="21"/>
              </w:rPr>
              <w:t>亩</w:t>
            </w:r>
          </w:p>
        </w:tc>
        <w:tc>
          <w:tcPr>
            <w:tcW w:w="64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774" w:type="pct"/>
            <w:vAlign w:val="center"/>
          </w:tcPr>
          <w:p w:rsidR="007D264D" w:rsidRDefault="00ED22F8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</w:tr>
      <w:tr w:rsidR="007D264D" w:rsidTr="00DD6C1C">
        <w:trPr>
          <w:trHeight w:val="567"/>
          <w:jc w:val="center"/>
        </w:trPr>
        <w:tc>
          <w:tcPr>
            <w:tcW w:w="68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立枯病</w:t>
            </w:r>
          </w:p>
        </w:tc>
        <w:tc>
          <w:tcPr>
            <w:tcW w:w="645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苗期</w:t>
            </w:r>
          </w:p>
        </w:tc>
        <w:tc>
          <w:tcPr>
            <w:tcW w:w="1249" w:type="pct"/>
            <w:vAlign w:val="center"/>
          </w:tcPr>
          <w:p w:rsidR="007D264D" w:rsidRDefault="00ED22F8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bookmarkStart w:id="18" w:name="OLE_LINK10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15%</w:t>
            </w:r>
            <w:proofErr w:type="gramStart"/>
            <w:r w:rsidR="00C93681">
              <w:rPr>
                <w:rFonts w:ascii="Times New Roman" w:hAnsi="Times New Roman" w:cs="Times New Roman"/>
                <w:kern w:val="0"/>
                <w:szCs w:val="21"/>
              </w:rPr>
              <w:t>噁霉灵</w:t>
            </w:r>
            <w:bookmarkEnd w:id="18"/>
            <w:r w:rsidRPr="00ED22F8">
              <w:rPr>
                <w:rFonts w:ascii="Times New Roman" w:hAnsi="Times New Roman" w:cs="Times New Roman" w:hint="eastAsia"/>
                <w:kern w:val="0"/>
                <w:szCs w:val="21"/>
              </w:rPr>
              <w:t>水剂</w:t>
            </w:r>
            <w:proofErr w:type="gramEnd"/>
          </w:p>
        </w:tc>
        <w:tc>
          <w:tcPr>
            <w:tcW w:w="1006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5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g/m</w:t>
            </w:r>
            <w:r>
              <w:rPr>
                <w:rFonts w:ascii="Times New Roman" w:hAnsi="Times New Roman" w:cs="Times New Roman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64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喷淋</w:t>
            </w:r>
          </w:p>
        </w:tc>
        <w:tc>
          <w:tcPr>
            <w:tcW w:w="774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</w:t>
            </w:r>
          </w:p>
        </w:tc>
      </w:tr>
      <w:tr w:rsidR="007D264D" w:rsidTr="00DD6C1C">
        <w:trPr>
          <w:trHeight w:val="567"/>
          <w:jc w:val="center"/>
        </w:trPr>
        <w:tc>
          <w:tcPr>
            <w:tcW w:w="68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蓟</w:t>
            </w:r>
            <w:proofErr w:type="gramEnd"/>
            <w:r>
              <w:rPr>
                <w:rFonts w:ascii="Times New Roman" w:hAnsi="Times New Roman" w:cs="Times New Roman"/>
                <w:kern w:val="0"/>
                <w:szCs w:val="21"/>
              </w:rPr>
              <w:t>马</w:t>
            </w:r>
          </w:p>
        </w:tc>
        <w:tc>
          <w:tcPr>
            <w:tcW w:w="645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苗期到结荚期</w:t>
            </w:r>
          </w:p>
        </w:tc>
        <w:tc>
          <w:tcPr>
            <w:tcW w:w="1249" w:type="pct"/>
            <w:vAlign w:val="center"/>
          </w:tcPr>
          <w:p w:rsidR="007D264D" w:rsidRDefault="00442CB8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0.</w:t>
            </w:r>
            <w:r w:rsidR="00C93681">
              <w:rPr>
                <w:rFonts w:ascii="Times New Roman" w:hAnsi="Times New Roman" w:cs="Times New Roman"/>
                <w:kern w:val="0"/>
                <w:szCs w:val="21"/>
              </w:rPr>
              <w:t>5%</w:t>
            </w:r>
            <w:bookmarkStart w:id="19" w:name="OLE_LINK11"/>
            <w:r w:rsidR="00C93681">
              <w:rPr>
                <w:rFonts w:ascii="Times New Roman" w:hAnsi="Times New Roman" w:cs="Times New Roman"/>
                <w:kern w:val="0"/>
                <w:szCs w:val="21"/>
              </w:rPr>
              <w:t>苦参碱</w:t>
            </w:r>
            <w:bookmarkEnd w:id="19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水剂</w:t>
            </w:r>
          </w:p>
        </w:tc>
        <w:tc>
          <w:tcPr>
            <w:tcW w:w="1006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100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120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  <w:r w:rsidR="00442CB8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="00442CB8">
              <w:rPr>
                <w:rFonts w:ascii="Times New Roman" w:hAnsi="Times New Roman" w:cs="Times New Roman" w:hint="eastAsia"/>
                <w:kern w:val="0"/>
                <w:szCs w:val="21"/>
              </w:rPr>
              <w:t>亩</w:t>
            </w:r>
          </w:p>
        </w:tc>
        <w:tc>
          <w:tcPr>
            <w:tcW w:w="64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774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14</w:t>
            </w:r>
          </w:p>
        </w:tc>
      </w:tr>
      <w:tr w:rsidR="007D264D" w:rsidTr="00DD6C1C">
        <w:trPr>
          <w:trHeight w:val="567"/>
          <w:jc w:val="center"/>
        </w:trPr>
        <w:tc>
          <w:tcPr>
            <w:tcW w:w="68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美洲斑潜蝇</w:t>
            </w:r>
          </w:p>
        </w:tc>
        <w:tc>
          <w:tcPr>
            <w:tcW w:w="645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开花期</w:t>
            </w:r>
          </w:p>
        </w:tc>
        <w:tc>
          <w:tcPr>
            <w:tcW w:w="1249" w:type="pct"/>
            <w:vAlign w:val="center"/>
          </w:tcPr>
          <w:p w:rsidR="007D264D" w:rsidRDefault="00442CB8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bookmarkStart w:id="20" w:name="OLE_LINK12"/>
            <w:bookmarkStart w:id="21" w:name="OLE_LINK13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70%</w:t>
            </w:r>
            <w:r w:rsidR="00C93681">
              <w:rPr>
                <w:rFonts w:ascii="Times New Roman" w:hAnsi="Times New Roman" w:cs="Times New Roman"/>
                <w:kern w:val="0"/>
                <w:szCs w:val="21"/>
              </w:rPr>
              <w:t>灭蝇</w:t>
            </w:r>
            <w:proofErr w:type="gramStart"/>
            <w:r w:rsidR="00C93681">
              <w:rPr>
                <w:rFonts w:ascii="Times New Roman" w:hAnsi="Times New Roman" w:cs="Times New Roman"/>
                <w:kern w:val="0"/>
                <w:szCs w:val="21"/>
              </w:rPr>
              <w:t>胺</w:t>
            </w:r>
            <w:bookmarkEnd w:id="20"/>
            <w:bookmarkEnd w:id="21"/>
            <w:r w:rsidRPr="00442CB8">
              <w:rPr>
                <w:rFonts w:ascii="Times New Roman" w:hAnsi="Times New Roman" w:cs="Times New Roman" w:hint="eastAsia"/>
                <w:kern w:val="0"/>
                <w:szCs w:val="21"/>
              </w:rPr>
              <w:t>水</w:t>
            </w:r>
            <w:proofErr w:type="gramEnd"/>
            <w:r w:rsidRPr="00442CB8">
              <w:rPr>
                <w:rFonts w:ascii="Times New Roman" w:hAnsi="Times New Roman" w:cs="Times New Roman" w:hint="eastAsia"/>
                <w:kern w:val="0"/>
                <w:szCs w:val="21"/>
              </w:rPr>
              <w:t>分散粒剂</w:t>
            </w:r>
          </w:p>
        </w:tc>
        <w:tc>
          <w:tcPr>
            <w:tcW w:w="1006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  <w:r w:rsidR="00442CB8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="00442CB8">
              <w:rPr>
                <w:rFonts w:ascii="Times New Roman" w:hAnsi="Times New Roman" w:cs="Times New Roman" w:hint="eastAsia"/>
                <w:kern w:val="0"/>
                <w:szCs w:val="21"/>
              </w:rPr>
              <w:t>亩</w:t>
            </w:r>
          </w:p>
        </w:tc>
        <w:tc>
          <w:tcPr>
            <w:tcW w:w="64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774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14</w:t>
            </w:r>
          </w:p>
        </w:tc>
      </w:tr>
      <w:tr w:rsidR="007D264D" w:rsidTr="00DD6C1C">
        <w:trPr>
          <w:trHeight w:val="567"/>
          <w:jc w:val="center"/>
        </w:trPr>
        <w:tc>
          <w:tcPr>
            <w:tcW w:w="683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豆荚螟</w:t>
            </w:r>
          </w:p>
        </w:tc>
        <w:tc>
          <w:tcPr>
            <w:tcW w:w="645" w:type="pct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结荚期</w:t>
            </w:r>
          </w:p>
        </w:tc>
        <w:tc>
          <w:tcPr>
            <w:tcW w:w="1249" w:type="pct"/>
            <w:vAlign w:val="center"/>
          </w:tcPr>
          <w:p w:rsidR="007D264D" w:rsidRDefault="00C93681" w:rsidP="00442CB8">
            <w:pPr>
              <w:pStyle w:val="aa"/>
              <w:widowControl/>
              <w:adjustRightInd w:val="0"/>
              <w:snapToGrid w:val="0"/>
              <w:spacing w:beforeAutospacing="0" w:afterAutospacing="0"/>
              <w:jc w:val="center"/>
              <w:rPr>
                <w:rFonts w:ascii="Times New Roman" w:hAnsi="Times New Roman"/>
                <w:spacing w:val="10"/>
                <w:sz w:val="21"/>
                <w:szCs w:val="21"/>
              </w:rPr>
            </w:pPr>
            <w:r>
              <w:rPr>
                <w:rFonts w:ascii="Times New Roman" w:hAnsi="Times New Roman"/>
                <w:spacing w:val="10"/>
                <w:sz w:val="21"/>
                <w:szCs w:val="21"/>
              </w:rPr>
              <w:t>1%</w:t>
            </w:r>
            <w:bookmarkStart w:id="22" w:name="OLE_LINK14"/>
            <w:bookmarkStart w:id="23" w:name="OLE_LINK15"/>
            <w:r>
              <w:rPr>
                <w:rFonts w:ascii="Times New Roman" w:hAnsi="Times New Roman"/>
                <w:spacing w:val="10"/>
                <w:sz w:val="21"/>
                <w:szCs w:val="21"/>
              </w:rPr>
              <w:t>甲氨基阿维菌素苯甲酸盐</w:t>
            </w:r>
            <w:bookmarkEnd w:id="22"/>
            <w:bookmarkEnd w:id="23"/>
            <w:r w:rsidR="00442CB8">
              <w:rPr>
                <w:rFonts w:ascii="Times New Roman" w:hAnsi="Times New Roman" w:hint="eastAsia"/>
                <w:spacing w:val="10"/>
                <w:sz w:val="21"/>
                <w:szCs w:val="21"/>
              </w:rPr>
              <w:t>乳油</w:t>
            </w:r>
          </w:p>
        </w:tc>
        <w:tc>
          <w:tcPr>
            <w:tcW w:w="1006" w:type="pct"/>
            <w:vAlign w:val="center"/>
          </w:tcPr>
          <w:p w:rsidR="007D264D" w:rsidRDefault="00442CB8" w:rsidP="00442CB8">
            <w:pPr>
              <w:pStyle w:val="af3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pacing w:val="10"/>
                <w:szCs w:val="21"/>
              </w:rPr>
            </w:pPr>
            <w:r>
              <w:rPr>
                <w:rFonts w:ascii="Times New Roman" w:hAnsi="Times New Roman" w:cs="Times New Roman"/>
                <w:spacing w:val="10"/>
                <w:szCs w:val="21"/>
              </w:rPr>
              <w:t>15</w:t>
            </w:r>
            <w:r w:rsidR="00C93681"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spacing w:val="10"/>
                <w:szCs w:val="21"/>
              </w:rPr>
              <w:t>20</w:t>
            </w:r>
            <w:r w:rsidR="00C93681">
              <w:rPr>
                <w:rFonts w:ascii="Times New Roman" w:hAnsi="Times New Roman" w:cs="Times New Roman" w:hint="eastAsia"/>
                <w:spacing w:val="1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  <w:r w:rsidDel="00442CB8">
              <w:rPr>
                <w:rFonts w:ascii="Times New Roman" w:hAnsi="Times New Roman" w:cs="Times New Roman"/>
                <w:spacing w:val="1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spacing w:val="10"/>
                <w:szCs w:val="21"/>
              </w:rPr>
              <w:t>亩</w:t>
            </w:r>
          </w:p>
        </w:tc>
        <w:tc>
          <w:tcPr>
            <w:tcW w:w="643" w:type="pct"/>
            <w:vAlign w:val="center"/>
          </w:tcPr>
          <w:p w:rsidR="007D264D" w:rsidRDefault="00C93681" w:rsidP="00442CB8">
            <w:pPr>
              <w:pStyle w:val="af3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喷雾</w:t>
            </w:r>
          </w:p>
        </w:tc>
        <w:tc>
          <w:tcPr>
            <w:tcW w:w="774" w:type="pct"/>
            <w:vAlign w:val="center"/>
          </w:tcPr>
          <w:p w:rsidR="007D264D" w:rsidRDefault="00442CB8" w:rsidP="00442CB8">
            <w:pPr>
              <w:pStyle w:val="af3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</w:tr>
      <w:tr w:rsidR="007D264D" w:rsidTr="00AB1E1E">
        <w:trPr>
          <w:trHeight w:val="454"/>
          <w:jc w:val="center"/>
        </w:trPr>
        <w:tc>
          <w:tcPr>
            <w:tcW w:w="5000" w:type="pct"/>
            <w:gridSpan w:val="6"/>
            <w:vAlign w:val="center"/>
          </w:tcPr>
          <w:p w:rsidR="007D264D" w:rsidRDefault="00C93681" w:rsidP="00442CB8">
            <w:pPr>
              <w:widowControl/>
              <w:adjustRightInd w:val="0"/>
              <w:snapToGrid w:val="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注：农药使用应以最新版本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NY/T393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的规定为准。</w:t>
            </w:r>
          </w:p>
        </w:tc>
      </w:tr>
    </w:tbl>
    <w:p w:rsidR="007D264D" w:rsidRDefault="007D264D">
      <w:pPr>
        <w:spacing w:line="400" w:lineRule="atLeast"/>
        <w:contextualSpacing/>
        <w:rPr>
          <w:rFonts w:ascii="宋体" w:hAnsi="宋体" w:cs="宋体"/>
          <w:szCs w:val="21"/>
        </w:rPr>
      </w:pPr>
    </w:p>
    <w:p w:rsidR="007D264D" w:rsidRPr="00AB1E1E" w:rsidRDefault="008460C1">
      <w:pPr>
        <w:pStyle w:val="a5"/>
        <w:ind w:firstLine="422"/>
        <w:rPr>
          <w:lang w:val="en-US" w:eastAsia="zh-CN"/>
        </w:rPr>
      </w:pPr>
      <w:r>
        <w:rPr>
          <w:b/>
          <w:noProof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040957" wp14:editId="23E72680">
                <wp:simplePos x="0" y="0"/>
                <wp:positionH relativeFrom="column">
                  <wp:posOffset>1679106</wp:posOffset>
                </wp:positionH>
                <wp:positionV relativeFrom="paragraph">
                  <wp:posOffset>39066</wp:posOffset>
                </wp:positionV>
                <wp:extent cx="1800000" cy="8255"/>
                <wp:effectExtent l="0" t="0" r="29210" b="298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B7F2A1" id="直接连接符 1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2.2pt,3.1pt" to="273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" strokecolor="black [3213]" strokeweight=".5pt">
                <v:stroke joinstyle="miter"/>
              </v:line>
            </w:pict>
          </mc:Fallback>
        </mc:AlternateContent>
      </w:r>
    </w:p>
    <w:sectPr w:rsidR="007D264D" w:rsidRPr="00AB1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6" w:h="16838"/>
      <w:pgMar w:top="1440" w:right="1814" w:bottom="1440" w:left="1814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E0" w:rsidRDefault="008F03E0">
      <w:r>
        <w:separator/>
      </w:r>
    </w:p>
  </w:endnote>
  <w:endnote w:type="continuationSeparator" w:id="0">
    <w:p w:rsidR="008F03E0" w:rsidRDefault="008F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7D264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687803"/>
    </w:sdtPr>
    <w:sdtEndPr/>
    <w:sdtContent>
      <w:p w:rsidR="007D264D" w:rsidRDefault="00C93681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F5F" w:rsidRPr="002B2F5F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858341695"/>
    </w:sdtPr>
    <w:sdtEndPr/>
    <w:sdtContent>
      <w:p w:rsidR="007D264D" w:rsidRDefault="00C93681">
        <w:pPr>
          <w:pStyle w:val="a8"/>
          <w:jc w:val="right"/>
          <w:rPr>
            <w:rFonts w:asciiTheme="minorEastAsia" w:hAnsiTheme="minorEastAsia"/>
            <w:szCs w:val="18"/>
          </w:rPr>
        </w:pPr>
        <w:r>
          <w:rPr>
            <w:rFonts w:asciiTheme="minorEastAsia" w:hAnsiTheme="minorEastAsia"/>
            <w:szCs w:val="18"/>
          </w:rPr>
          <w:fldChar w:fldCharType="begin"/>
        </w:r>
        <w:r>
          <w:rPr>
            <w:rFonts w:asciiTheme="minorEastAsia" w:hAnsiTheme="minorEastAsia"/>
            <w:szCs w:val="18"/>
          </w:rPr>
          <w:instrText>PAGE   \* MERGEFORMAT</w:instrText>
        </w:r>
        <w:r>
          <w:rPr>
            <w:rFonts w:asciiTheme="minorEastAsia" w:hAnsiTheme="minorEastAsia"/>
            <w:szCs w:val="18"/>
          </w:rPr>
          <w:fldChar w:fldCharType="separate"/>
        </w:r>
        <w:r w:rsidR="002B2F5F" w:rsidRPr="002B2F5F">
          <w:rPr>
            <w:rFonts w:asciiTheme="minorEastAsia" w:hAnsiTheme="minorEastAsia"/>
            <w:noProof/>
            <w:szCs w:val="18"/>
            <w:lang w:val="zh-CN"/>
          </w:rPr>
          <w:t>5</w:t>
        </w:r>
        <w:r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E0" w:rsidRDefault="008F03E0">
      <w:r>
        <w:separator/>
      </w:r>
    </w:p>
  </w:footnote>
  <w:footnote w:type="continuationSeparator" w:id="0">
    <w:p w:rsidR="008F03E0" w:rsidRDefault="008F0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0" o:spid="_x0000_s2050" type="#_x0000_t75" style="position:absolute;left:0;text-align:left;margin-left:0;margin-top:0;width:413.85pt;height:385.7pt;z-index:-25165414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1" o:spid="_x0000_s2051" type="#_x0000_t75" style="position:absolute;left:0;text-align:left;margin-left:0;margin-top:0;width:413.85pt;height:385.7pt;z-index:-25165312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39" o:spid="_x0000_s2049" type="#_x0000_t75" style="position:absolute;left:0;text-align:left;margin-left:0;margin-top:0;width:413.85pt;height:385.7pt;z-index:-25165516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3" o:spid="_x0000_s2053" type="#_x0000_t75" style="position:absolute;left:0;text-align:left;margin-left:0;margin-top:0;width:413.85pt;height:385.7pt;z-index:-251651072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4" o:spid="_x0000_s2054" type="#_x0000_t75" style="position:absolute;left:0;text-align:left;margin-left:0;margin-top:0;width:413.85pt;height:385.7pt;z-index:-25165004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2" o:spid="_x0000_s2052" type="#_x0000_t75" style="position:absolute;left:0;text-align:left;margin-left:0;margin-top:0;width:413.85pt;height:385.7pt;z-index:-25165209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6" o:spid="_x0000_s2056" type="#_x0000_t75" style="position:absolute;left:0;text-align:left;margin-left:0;margin-top:0;width:413.85pt;height:385.7pt;z-index:-25164800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7" o:spid="_x0000_s2057" type="#_x0000_t75" style="position:absolute;left:0;text-align:left;margin-left:0;margin-top:0;width:413.85pt;height:385.7pt;z-index:-25164697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64D" w:rsidRDefault="008F03E0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5" o:spid="_x0000_s2055" type="#_x0000_t75" style="position:absolute;left:0;text-align:left;margin-left:0;margin-top:0;width:413.85pt;height:385.7pt;z-index:-25164902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614C"/>
    <w:rsid w:val="00013E24"/>
    <w:rsid w:val="00031958"/>
    <w:rsid w:val="00033B5D"/>
    <w:rsid w:val="00035D9D"/>
    <w:rsid w:val="00040EB1"/>
    <w:rsid w:val="00041C7E"/>
    <w:rsid w:val="00043ACC"/>
    <w:rsid w:val="00055E84"/>
    <w:rsid w:val="00067404"/>
    <w:rsid w:val="00077082"/>
    <w:rsid w:val="000A4782"/>
    <w:rsid w:val="000B7C3E"/>
    <w:rsid w:val="000C259C"/>
    <w:rsid w:val="000D19F5"/>
    <w:rsid w:val="000E387D"/>
    <w:rsid w:val="000E69E3"/>
    <w:rsid w:val="000E7F31"/>
    <w:rsid w:val="001033A0"/>
    <w:rsid w:val="0010720B"/>
    <w:rsid w:val="0011110F"/>
    <w:rsid w:val="0011228D"/>
    <w:rsid w:val="001146D9"/>
    <w:rsid w:val="00122B05"/>
    <w:rsid w:val="001241F5"/>
    <w:rsid w:val="001313F5"/>
    <w:rsid w:val="00147137"/>
    <w:rsid w:val="00165F5E"/>
    <w:rsid w:val="001763F9"/>
    <w:rsid w:val="001A29FB"/>
    <w:rsid w:val="001B0CFA"/>
    <w:rsid w:val="001C0225"/>
    <w:rsid w:val="001C552E"/>
    <w:rsid w:val="001D651A"/>
    <w:rsid w:val="001E77B1"/>
    <w:rsid w:val="001F1D7D"/>
    <w:rsid w:val="00204E3E"/>
    <w:rsid w:val="00233A0A"/>
    <w:rsid w:val="00237A85"/>
    <w:rsid w:val="002460B4"/>
    <w:rsid w:val="002569AC"/>
    <w:rsid w:val="00257FBD"/>
    <w:rsid w:val="002602E1"/>
    <w:rsid w:val="00292DB0"/>
    <w:rsid w:val="00296C4D"/>
    <w:rsid w:val="002B2F5F"/>
    <w:rsid w:val="002C638A"/>
    <w:rsid w:val="002D6273"/>
    <w:rsid w:val="002F53F1"/>
    <w:rsid w:val="0030414F"/>
    <w:rsid w:val="00313BD8"/>
    <w:rsid w:val="00323A21"/>
    <w:rsid w:val="00332DE9"/>
    <w:rsid w:val="00341C3F"/>
    <w:rsid w:val="00355FB5"/>
    <w:rsid w:val="00373546"/>
    <w:rsid w:val="00382CB6"/>
    <w:rsid w:val="00383FD6"/>
    <w:rsid w:val="003A1F91"/>
    <w:rsid w:val="003B5D99"/>
    <w:rsid w:val="003C5B73"/>
    <w:rsid w:val="003D4842"/>
    <w:rsid w:val="003E2190"/>
    <w:rsid w:val="003E47F6"/>
    <w:rsid w:val="003E5943"/>
    <w:rsid w:val="003E70F4"/>
    <w:rsid w:val="003F0154"/>
    <w:rsid w:val="003F1FB3"/>
    <w:rsid w:val="003F3435"/>
    <w:rsid w:val="003F69A0"/>
    <w:rsid w:val="00432F25"/>
    <w:rsid w:val="00434840"/>
    <w:rsid w:val="004365D2"/>
    <w:rsid w:val="00442CB8"/>
    <w:rsid w:val="004435BA"/>
    <w:rsid w:val="00444B93"/>
    <w:rsid w:val="00446E4E"/>
    <w:rsid w:val="0044740D"/>
    <w:rsid w:val="00451E5E"/>
    <w:rsid w:val="00474A9C"/>
    <w:rsid w:val="00475DFD"/>
    <w:rsid w:val="004909A4"/>
    <w:rsid w:val="004A0BB9"/>
    <w:rsid w:val="004A4686"/>
    <w:rsid w:val="004B3D6C"/>
    <w:rsid w:val="004B4338"/>
    <w:rsid w:val="004D5D13"/>
    <w:rsid w:val="00502C4C"/>
    <w:rsid w:val="00506E72"/>
    <w:rsid w:val="00512A7E"/>
    <w:rsid w:val="005148C7"/>
    <w:rsid w:val="0053240E"/>
    <w:rsid w:val="005410A2"/>
    <w:rsid w:val="00557BEF"/>
    <w:rsid w:val="00581EE4"/>
    <w:rsid w:val="005847C8"/>
    <w:rsid w:val="0061324D"/>
    <w:rsid w:val="00614B22"/>
    <w:rsid w:val="00625259"/>
    <w:rsid w:val="0064097F"/>
    <w:rsid w:val="00646A5D"/>
    <w:rsid w:val="00656141"/>
    <w:rsid w:val="00661024"/>
    <w:rsid w:val="006625E2"/>
    <w:rsid w:val="00662928"/>
    <w:rsid w:val="00687114"/>
    <w:rsid w:val="00695C93"/>
    <w:rsid w:val="006A496A"/>
    <w:rsid w:val="006A4FBF"/>
    <w:rsid w:val="006B7118"/>
    <w:rsid w:val="006D16C2"/>
    <w:rsid w:val="006D627E"/>
    <w:rsid w:val="006D6854"/>
    <w:rsid w:val="006D6A73"/>
    <w:rsid w:val="006D6DB8"/>
    <w:rsid w:val="007055D7"/>
    <w:rsid w:val="00714840"/>
    <w:rsid w:val="00754593"/>
    <w:rsid w:val="007827C9"/>
    <w:rsid w:val="007872C4"/>
    <w:rsid w:val="00794E50"/>
    <w:rsid w:val="007967A4"/>
    <w:rsid w:val="00796EE0"/>
    <w:rsid w:val="007A76AB"/>
    <w:rsid w:val="007C427E"/>
    <w:rsid w:val="007C5162"/>
    <w:rsid w:val="007C7985"/>
    <w:rsid w:val="007C7D7F"/>
    <w:rsid w:val="007D264D"/>
    <w:rsid w:val="007E3C3E"/>
    <w:rsid w:val="007E4E5F"/>
    <w:rsid w:val="007F719B"/>
    <w:rsid w:val="00801B1D"/>
    <w:rsid w:val="00835D76"/>
    <w:rsid w:val="00840D6A"/>
    <w:rsid w:val="008414DD"/>
    <w:rsid w:val="00845391"/>
    <w:rsid w:val="008460C1"/>
    <w:rsid w:val="00862811"/>
    <w:rsid w:val="008743E0"/>
    <w:rsid w:val="008921D7"/>
    <w:rsid w:val="008937FC"/>
    <w:rsid w:val="0089591B"/>
    <w:rsid w:val="008A2EFB"/>
    <w:rsid w:val="008A3273"/>
    <w:rsid w:val="008A4AF7"/>
    <w:rsid w:val="008B707E"/>
    <w:rsid w:val="008B7A8D"/>
    <w:rsid w:val="008C17B2"/>
    <w:rsid w:val="008C2C21"/>
    <w:rsid w:val="008D6B29"/>
    <w:rsid w:val="008F03E0"/>
    <w:rsid w:val="008F2958"/>
    <w:rsid w:val="009220C2"/>
    <w:rsid w:val="0093366A"/>
    <w:rsid w:val="00943515"/>
    <w:rsid w:val="00964294"/>
    <w:rsid w:val="009659A0"/>
    <w:rsid w:val="00967369"/>
    <w:rsid w:val="00973CB6"/>
    <w:rsid w:val="009749CF"/>
    <w:rsid w:val="009A0D0C"/>
    <w:rsid w:val="009B43B0"/>
    <w:rsid w:val="009D1D43"/>
    <w:rsid w:val="009D4D92"/>
    <w:rsid w:val="009D540D"/>
    <w:rsid w:val="009F27C1"/>
    <w:rsid w:val="00A144BB"/>
    <w:rsid w:val="00A27CE4"/>
    <w:rsid w:val="00A42479"/>
    <w:rsid w:val="00A52AC3"/>
    <w:rsid w:val="00A547F3"/>
    <w:rsid w:val="00A80087"/>
    <w:rsid w:val="00A84920"/>
    <w:rsid w:val="00A9036E"/>
    <w:rsid w:val="00A91366"/>
    <w:rsid w:val="00A93439"/>
    <w:rsid w:val="00AA2D89"/>
    <w:rsid w:val="00AA2FD7"/>
    <w:rsid w:val="00AB1E1E"/>
    <w:rsid w:val="00AB3A9A"/>
    <w:rsid w:val="00AC1453"/>
    <w:rsid w:val="00AE214A"/>
    <w:rsid w:val="00AF7514"/>
    <w:rsid w:val="00B00939"/>
    <w:rsid w:val="00B057D6"/>
    <w:rsid w:val="00B24E39"/>
    <w:rsid w:val="00B5088E"/>
    <w:rsid w:val="00B53960"/>
    <w:rsid w:val="00B92F37"/>
    <w:rsid w:val="00B9502F"/>
    <w:rsid w:val="00BB214B"/>
    <w:rsid w:val="00BC1C57"/>
    <w:rsid w:val="00BF1250"/>
    <w:rsid w:val="00C00753"/>
    <w:rsid w:val="00C1476E"/>
    <w:rsid w:val="00C30780"/>
    <w:rsid w:val="00C436C2"/>
    <w:rsid w:val="00C7616D"/>
    <w:rsid w:val="00C7706B"/>
    <w:rsid w:val="00C92C28"/>
    <w:rsid w:val="00C93681"/>
    <w:rsid w:val="00C96690"/>
    <w:rsid w:val="00CA1924"/>
    <w:rsid w:val="00CB5CC2"/>
    <w:rsid w:val="00CD77CB"/>
    <w:rsid w:val="00CE1997"/>
    <w:rsid w:val="00CF1752"/>
    <w:rsid w:val="00D10710"/>
    <w:rsid w:val="00D11450"/>
    <w:rsid w:val="00D41136"/>
    <w:rsid w:val="00D71F58"/>
    <w:rsid w:val="00DB6495"/>
    <w:rsid w:val="00DC0549"/>
    <w:rsid w:val="00DD6C1C"/>
    <w:rsid w:val="00DD7DFD"/>
    <w:rsid w:val="00DF55F5"/>
    <w:rsid w:val="00DF7D88"/>
    <w:rsid w:val="00E16D7D"/>
    <w:rsid w:val="00E207AF"/>
    <w:rsid w:val="00E20CF3"/>
    <w:rsid w:val="00E21EFD"/>
    <w:rsid w:val="00E225AD"/>
    <w:rsid w:val="00E22906"/>
    <w:rsid w:val="00E25A4F"/>
    <w:rsid w:val="00E33405"/>
    <w:rsid w:val="00E851BE"/>
    <w:rsid w:val="00E97446"/>
    <w:rsid w:val="00EA1BA7"/>
    <w:rsid w:val="00EA44FD"/>
    <w:rsid w:val="00EB142F"/>
    <w:rsid w:val="00EB68D0"/>
    <w:rsid w:val="00EC2ACA"/>
    <w:rsid w:val="00ED22F8"/>
    <w:rsid w:val="00EF49D2"/>
    <w:rsid w:val="00F05F7A"/>
    <w:rsid w:val="00F16B96"/>
    <w:rsid w:val="00F21742"/>
    <w:rsid w:val="00F235B5"/>
    <w:rsid w:val="00F66A29"/>
    <w:rsid w:val="00F81519"/>
    <w:rsid w:val="00F8706B"/>
    <w:rsid w:val="00F921C2"/>
    <w:rsid w:val="00F97898"/>
    <w:rsid w:val="00FB4434"/>
    <w:rsid w:val="00FD6B45"/>
    <w:rsid w:val="00FF069E"/>
    <w:rsid w:val="01120B68"/>
    <w:rsid w:val="011C24A7"/>
    <w:rsid w:val="01263D97"/>
    <w:rsid w:val="012B6978"/>
    <w:rsid w:val="01860781"/>
    <w:rsid w:val="01884C50"/>
    <w:rsid w:val="0191524E"/>
    <w:rsid w:val="01AC209A"/>
    <w:rsid w:val="01C77396"/>
    <w:rsid w:val="01F74790"/>
    <w:rsid w:val="021F6ED0"/>
    <w:rsid w:val="023136D3"/>
    <w:rsid w:val="023F1A9A"/>
    <w:rsid w:val="026F329F"/>
    <w:rsid w:val="02B94E76"/>
    <w:rsid w:val="02E2057E"/>
    <w:rsid w:val="033261E8"/>
    <w:rsid w:val="036855D0"/>
    <w:rsid w:val="037E4FDB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9A0B38"/>
    <w:rsid w:val="099B3473"/>
    <w:rsid w:val="09D02323"/>
    <w:rsid w:val="0A092BFE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39666D"/>
    <w:rsid w:val="0C3D0AAD"/>
    <w:rsid w:val="0C3E5A09"/>
    <w:rsid w:val="0C615802"/>
    <w:rsid w:val="0CA17CB5"/>
    <w:rsid w:val="0CAB27A8"/>
    <w:rsid w:val="0CB0295D"/>
    <w:rsid w:val="0CD2077C"/>
    <w:rsid w:val="0CD2630D"/>
    <w:rsid w:val="0CE32759"/>
    <w:rsid w:val="0DA55B77"/>
    <w:rsid w:val="0DFC27BA"/>
    <w:rsid w:val="0E0A00D4"/>
    <w:rsid w:val="0E320DF5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83E12"/>
    <w:rsid w:val="0F9D2914"/>
    <w:rsid w:val="0FA72AAE"/>
    <w:rsid w:val="0FAD508A"/>
    <w:rsid w:val="0FB30E6B"/>
    <w:rsid w:val="0FD372AA"/>
    <w:rsid w:val="0FE15849"/>
    <w:rsid w:val="0FEB39D9"/>
    <w:rsid w:val="0FF21D13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5133973"/>
    <w:rsid w:val="15213D67"/>
    <w:rsid w:val="15371498"/>
    <w:rsid w:val="153F3B0C"/>
    <w:rsid w:val="155C116E"/>
    <w:rsid w:val="156B3D0C"/>
    <w:rsid w:val="157D2288"/>
    <w:rsid w:val="15810E9F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8846AE"/>
    <w:rsid w:val="16923B1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06B0A"/>
    <w:rsid w:val="178C4794"/>
    <w:rsid w:val="17A07680"/>
    <w:rsid w:val="17B076D6"/>
    <w:rsid w:val="17B16E58"/>
    <w:rsid w:val="17CB597C"/>
    <w:rsid w:val="18176606"/>
    <w:rsid w:val="18693AFA"/>
    <w:rsid w:val="18775D7C"/>
    <w:rsid w:val="18954AB5"/>
    <w:rsid w:val="18A6526A"/>
    <w:rsid w:val="18AE458F"/>
    <w:rsid w:val="18B82E0C"/>
    <w:rsid w:val="18D41222"/>
    <w:rsid w:val="18D82CA2"/>
    <w:rsid w:val="190026CA"/>
    <w:rsid w:val="19186CE0"/>
    <w:rsid w:val="194C7557"/>
    <w:rsid w:val="196F7E84"/>
    <w:rsid w:val="19DF6EE4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483686"/>
    <w:rsid w:val="1E5540F1"/>
    <w:rsid w:val="1E5E479D"/>
    <w:rsid w:val="1E8855A7"/>
    <w:rsid w:val="1E9168B0"/>
    <w:rsid w:val="1ED815E3"/>
    <w:rsid w:val="1EDB44F6"/>
    <w:rsid w:val="1EDD4E87"/>
    <w:rsid w:val="1F380BB6"/>
    <w:rsid w:val="1F5940DF"/>
    <w:rsid w:val="1F656B6D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D22ED"/>
    <w:rsid w:val="21D4600C"/>
    <w:rsid w:val="21E22A68"/>
    <w:rsid w:val="220C26EE"/>
    <w:rsid w:val="22241910"/>
    <w:rsid w:val="22C67C50"/>
    <w:rsid w:val="22CC46C2"/>
    <w:rsid w:val="238D51EB"/>
    <w:rsid w:val="239861F8"/>
    <w:rsid w:val="23A10746"/>
    <w:rsid w:val="23D42FFF"/>
    <w:rsid w:val="24193875"/>
    <w:rsid w:val="24300CFC"/>
    <w:rsid w:val="243A23DC"/>
    <w:rsid w:val="24592D24"/>
    <w:rsid w:val="24824056"/>
    <w:rsid w:val="248F70A7"/>
    <w:rsid w:val="24D2239F"/>
    <w:rsid w:val="24EE5D8A"/>
    <w:rsid w:val="25023AB9"/>
    <w:rsid w:val="253E3CB8"/>
    <w:rsid w:val="253F5DD1"/>
    <w:rsid w:val="25466E0B"/>
    <w:rsid w:val="255105C8"/>
    <w:rsid w:val="256D09EE"/>
    <w:rsid w:val="258D731D"/>
    <w:rsid w:val="259C5CD4"/>
    <w:rsid w:val="25C43228"/>
    <w:rsid w:val="25C46CAC"/>
    <w:rsid w:val="25D67394"/>
    <w:rsid w:val="25E3389E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6F5ECE"/>
    <w:rsid w:val="298906F6"/>
    <w:rsid w:val="29A90A6A"/>
    <w:rsid w:val="29AB6A15"/>
    <w:rsid w:val="29B52FEF"/>
    <w:rsid w:val="29FA61A8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F20CC9"/>
    <w:rsid w:val="2B1A3479"/>
    <w:rsid w:val="2B2C563F"/>
    <w:rsid w:val="2B307E2E"/>
    <w:rsid w:val="2B395C12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D7A34"/>
    <w:rsid w:val="2C947BAC"/>
    <w:rsid w:val="2C9D372F"/>
    <w:rsid w:val="2CA01222"/>
    <w:rsid w:val="2CE53FC4"/>
    <w:rsid w:val="2D1800CC"/>
    <w:rsid w:val="2D4720A5"/>
    <w:rsid w:val="2D4F3935"/>
    <w:rsid w:val="2D69645C"/>
    <w:rsid w:val="2D81695A"/>
    <w:rsid w:val="2DC30208"/>
    <w:rsid w:val="2DC72229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F15BF"/>
    <w:rsid w:val="31A1399E"/>
    <w:rsid w:val="31B153DD"/>
    <w:rsid w:val="31F35F86"/>
    <w:rsid w:val="31F721DE"/>
    <w:rsid w:val="322B2AAE"/>
    <w:rsid w:val="323533CA"/>
    <w:rsid w:val="327F3227"/>
    <w:rsid w:val="3286222A"/>
    <w:rsid w:val="328E79CC"/>
    <w:rsid w:val="32992332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E022B2"/>
    <w:rsid w:val="34EE74C0"/>
    <w:rsid w:val="351E02EC"/>
    <w:rsid w:val="35204894"/>
    <w:rsid w:val="35254E52"/>
    <w:rsid w:val="35290849"/>
    <w:rsid w:val="35730B26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9D42E3"/>
    <w:rsid w:val="36AD4D81"/>
    <w:rsid w:val="36DC38D5"/>
    <w:rsid w:val="36E67C67"/>
    <w:rsid w:val="370244A4"/>
    <w:rsid w:val="37085083"/>
    <w:rsid w:val="37333C15"/>
    <w:rsid w:val="376A41AF"/>
    <w:rsid w:val="377201F2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F815D3"/>
    <w:rsid w:val="392767DA"/>
    <w:rsid w:val="39303EB0"/>
    <w:rsid w:val="39395D40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DF00DE"/>
    <w:rsid w:val="3EDF0D3E"/>
    <w:rsid w:val="3F1C7FB8"/>
    <w:rsid w:val="3F201034"/>
    <w:rsid w:val="3F3356A6"/>
    <w:rsid w:val="3F3A3E6E"/>
    <w:rsid w:val="3F567E7B"/>
    <w:rsid w:val="3F906127"/>
    <w:rsid w:val="3FBD3439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C3501E"/>
    <w:rsid w:val="40C9784D"/>
    <w:rsid w:val="411D1F5C"/>
    <w:rsid w:val="41357407"/>
    <w:rsid w:val="414B7353"/>
    <w:rsid w:val="419B2E33"/>
    <w:rsid w:val="41A84015"/>
    <w:rsid w:val="41DC37CF"/>
    <w:rsid w:val="42342071"/>
    <w:rsid w:val="4256665F"/>
    <w:rsid w:val="42827573"/>
    <w:rsid w:val="429A69E0"/>
    <w:rsid w:val="42B736D5"/>
    <w:rsid w:val="430B0499"/>
    <w:rsid w:val="433F7426"/>
    <w:rsid w:val="436013CB"/>
    <w:rsid w:val="43927B31"/>
    <w:rsid w:val="439A6354"/>
    <w:rsid w:val="43F645FD"/>
    <w:rsid w:val="440D656B"/>
    <w:rsid w:val="44165862"/>
    <w:rsid w:val="442A1484"/>
    <w:rsid w:val="442C6060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F6DCE"/>
    <w:rsid w:val="49CE52A4"/>
    <w:rsid w:val="49FD6102"/>
    <w:rsid w:val="4A004FC9"/>
    <w:rsid w:val="4A234827"/>
    <w:rsid w:val="4A787586"/>
    <w:rsid w:val="4A8D571D"/>
    <w:rsid w:val="4A9B5438"/>
    <w:rsid w:val="4A9B6AD9"/>
    <w:rsid w:val="4AAD22A9"/>
    <w:rsid w:val="4AD277B7"/>
    <w:rsid w:val="4B2D4330"/>
    <w:rsid w:val="4B405D40"/>
    <w:rsid w:val="4B475E6E"/>
    <w:rsid w:val="4B541575"/>
    <w:rsid w:val="4B7649D4"/>
    <w:rsid w:val="4BA371B3"/>
    <w:rsid w:val="4BEC3B46"/>
    <w:rsid w:val="4BF61CDD"/>
    <w:rsid w:val="4C131838"/>
    <w:rsid w:val="4C145862"/>
    <w:rsid w:val="4C154204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E207B6"/>
    <w:rsid w:val="510E5314"/>
    <w:rsid w:val="51123E7D"/>
    <w:rsid w:val="511B0E3B"/>
    <w:rsid w:val="515C0382"/>
    <w:rsid w:val="515F5612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80EC5"/>
    <w:rsid w:val="54AE4AE2"/>
    <w:rsid w:val="54BA3C99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80C7F2C"/>
    <w:rsid w:val="580E781B"/>
    <w:rsid w:val="58103547"/>
    <w:rsid w:val="58403255"/>
    <w:rsid w:val="58FA222A"/>
    <w:rsid w:val="5909166B"/>
    <w:rsid w:val="591D25D7"/>
    <w:rsid w:val="5940750B"/>
    <w:rsid w:val="595371E6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B0774A"/>
    <w:rsid w:val="5BBF1E77"/>
    <w:rsid w:val="5BC10B4F"/>
    <w:rsid w:val="5BCB72D7"/>
    <w:rsid w:val="5BFC0A07"/>
    <w:rsid w:val="5C236A1B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AE1749"/>
    <w:rsid w:val="5DC71F4B"/>
    <w:rsid w:val="5DEF3DDD"/>
    <w:rsid w:val="5E053D08"/>
    <w:rsid w:val="5E181346"/>
    <w:rsid w:val="5E5A3C9F"/>
    <w:rsid w:val="5E5C428F"/>
    <w:rsid w:val="5E690B0D"/>
    <w:rsid w:val="5E690CA7"/>
    <w:rsid w:val="5E9A76EE"/>
    <w:rsid w:val="5EB4136C"/>
    <w:rsid w:val="5EB61743"/>
    <w:rsid w:val="5ED22444"/>
    <w:rsid w:val="5EFF4815"/>
    <w:rsid w:val="5F04349E"/>
    <w:rsid w:val="5F1D7D39"/>
    <w:rsid w:val="5F2A25D3"/>
    <w:rsid w:val="5F3D7DCF"/>
    <w:rsid w:val="5F626A98"/>
    <w:rsid w:val="5F6859B1"/>
    <w:rsid w:val="5FBB4907"/>
    <w:rsid w:val="5FC655EC"/>
    <w:rsid w:val="5FCC74D6"/>
    <w:rsid w:val="5FEC21A0"/>
    <w:rsid w:val="5FFD4C6E"/>
    <w:rsid w:val="5FFE1F03"/>
    <w:rsid w:val="60037ABD"/>
    <w:rsid w:val="60890318"/>
    <w:rsid w:val="60986719"/>
    <w:rsid w:val="609B3E35"/>
    <w:rsid w:val="60A13EF0"/>
    <w:rsid w:val="60B82BB1"/>
    <w:rsid w:val="60E9588E"/>
    <w:rsid w:val="61102406"/>
    <w:rsid w:val="613B6146"/>
    <w:rsid w:val="61532E7D"/>
    <w:rsid w:val="615D207E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8B314E"/>
    <w:rsid w:val="62C27B96"/>
    <w:rsid w:val="62CB3622"/>
    <w:rsid w:val="62CF3E91"/>
    <w:rsid w:val="62EC18A4"/>
    <w:rsid w:val="62FE3536"/>
    <w:rsid w:val="630D3030"/>
    <w:rsid w:val="636D2248"/>
    <w:rsid w:val="63874D4A"/>
    <w:rsid w:val="63952BB5"/>
    <w:rsid w:val="63AD2CB3"/>
    <w:rsid w:val="6406621E"/>
    <w:rsid w:val="643263FF"/>
    <w:rsid w:val="64462965"/>
    <w:rsid w:val="644D3F71"/>
    <w:rsid w:val="645B70BC"/>
    <w:rsid w:val="646A392E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9B7D9A"/>
    <w:rsid w:val="68A770E3"/>
    <w:rsid w:val="68B271BC"/>
    <w:rsid w:val="69646D35"/>
    <w:rsid w:val="69880CA5"/>
    <w:rsid w:val="69A515EA"/>
    <w:rsid w:val="69CD6E2D"/>
    <w:rsid w:val="69E210CB"/>
    <w:rsid w:val="69E67416"/>
    <w:rsid w:val="69FD0F4A"/>
    <w:rsid w:val="6A03098E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7E4A5D"/>
    <w:rsid w:val="6FB01269"/>
    <w:rsid w:val="6FCA71A8"/>
    <w:rsid w:val="6FD709C6"/>
    <w:rsid w:val="6FEA346D"/>
    <w:rsid w:val="6FF7644D"/>
    <w:rsid w:val="6FFA467C"/>
    <w:rsid w:val="70353D2B"/>
    <w:rsid w:val="70453F35"/>
    <w:rsid w:val="704A06D3"/>
    <w:rsid w:val="709C0B70"/>
    <w:rsid w:val="70AD4FD5"/>
    <w:rsid w:val="71065187"/>
    <w:rsid w:val="710A2D40"/>
    <w:rsid w:val="713201C6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246A69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F97304"/>
    <w:rsid w:val="7506299F"/>
    <w:rsid w:val="751C28AD"/>
    <w:rsid w:val="75210735"/>
    <w:rsid w:val="75275BE9"/>
    <w:rsid w:val="75504FD9"/>
    <w:rsid w:val="75693540"/>
    <w:rsid w:val="756A49B9"/>
    <w:rsid w:val="756F4771"/>
    <w:rsid w:val="75961BD7"/>
    <w:rsid w:val="759737FD"/>
    <w:rsid w:val="759B0C59"/>
    <w:rsid w:val="75AE3204"/>
    <w:rsid w:val="75D35D5A"/>
    <w:rsid w:val="760545A6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233742"/>
    <w:rsid w:val="772C33B8"/>
    <w:rsid w:val="77533A61"/>
    <w:rsid w:val="779F7809"/>
    <w:rsid w:val="78023C31"/>
    <w:rsid w:val="781743B1"/>
    <w:rsid w:val="783D6676"/>
    <w:rsid w:val="784C61BE"/>
    <w:rsid w:val="785D7C29"/>
    <w:rsid w:val="788004F1"/>
    <w:rsid w:val="78910152"/>
    <w:rsid w:val="789534CB"/>
    <w:rsid w:val="78B474C1"/>
    <w:rsid w:val="793E30D6"/>
    <w:rsid w:val="795319DE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5264EF"/>
    <w:rsid w:val="7B5B7BDA"/>
    <w:rsid w:val="7B636832"/>
    <w:rsid w:val="7B8A3A2D"/>
    <w:rsid w:val="7B985994"/>
    <w:rsid w:val="7BE671A1"/>
    <w:rsid w:val="7C5D63A6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EA147C"/>
    <w:rsid w:val="7DFD1D74"/>
    <w:rsid w:val="7DFE3667"/>
    <w:rsid w:val="7E0A01FB"/>
    <w:rsid w:val="7E0D4DF9"/>
    <w:rsid w:val="7E3E4905"/>
    <w:rsid w:val="7E7025B0"/>
    <w:rsid w:val="7E7812C2"/>
    <w:rsid w:val="7E955D07"/>
    <w:rsid w:val="7E9C5989"/>
    <w:rsid w:val="7EA37DF8"/>
    <w:rsid w:val="7F134233"/>
    <w:rsid w:val="7F224FD6"/>
    <w:rsid w:val="7F7CFF9F"/>
    <w:rsid w:val="7F7F2AF7"/>
    <w:rsid w:val="7F8C797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 fillcolor="white">
      <v:fill color="white"/>
    </o:shapedefaults>
    <o:shapelayout v:ext="edit">
      <o:idmap v:ext="edit" data="1"/>
    </o:shapelayout>
  </w:shapeDefaults>
  <w:decimalSymbol w:val="."/>
  <w:listSeparator w:val=","/>
  <w15:docId w15:val="{F77EF5DA-8AFA-4EE0-A912-C7B449AB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pPr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pPr>
      <w:adjustRightInd w:val="0"/>
      <w:snapToGrid w:val="0"/>
      <w:spacing w:before="100" w:beforeAutospacing="1" w:after="100" w:afterAutospacing="1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uiPriority w:val="1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1"/>
    <w:qFormat/>
    <w:pPr>
      <w:ind w:leftChars="2500" w:left="100"/>
    </w:p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Char2"/>
    <w:qFormat/>
    <w:rPr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link w:val="2"/>
    <w:qFormat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1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qFormat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1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2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  <w:qFormat/>
  </w:style>
  <w:style w:type="paragraph" w:customStyle="1" w:styleId="af2">
    <w:name w:val="章标题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5">
    <w:name w:val="批注主题 Char"/>
    <w:basedOn w:val="Char0"/>
    <w:link w:val="ac"/>
    <w:qFormat/>
    <w:rPr>
      <w:b/>
      <w:bCs/>
      <w:kern w:val="2"/>
      <w:sz w:val="21"/>
      <w:szCs w:val="24"/>
    </w:rPr>
  </w:style>
  <w:style w:type="character" w:customStyle="1" w:styleId="Char3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Char4">
    <w:name w:val="标题 Char"/>
    <w:basedOn w:val="a0"/>
    <w:link w:val="ab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0">
    <w:name w:val="正文文本缩进 2 Char"/>
    <w:basedOn w:val="a0"/>
    <w:link w:val="20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f3">
    <w:name w:val="段"/>
    <w:link w:val="Char6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Char6">
    <w:name w:val="段 Char"/>
    <w:link w:val="af3"/>
    <w:qFormat/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4">
    <w:name w:val="一级条标题"/>
    <w:next w:val="af3"/>
    <w:qFormat/>
    <w:pPr>
      <w:spacing w:beforeLines="50" w:afterLines="50"/>
      <w:ind w:left="709"/>
      <w:outlineLvl w:val="2"/>
    </w:pPr>
    <w:rPr>
      <w:rFonts w:ascii="黑体" w:eastAsia="黑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934407-9E03-445B-A91D-7ADBC80E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533</Words>
  <Characters>3040</Characters>
  <Application>Microsoft Office Word</Application>
  <DocSecurity>0</DocSecurity>
  <Lines>25</Lines>
  <Paragraphs>7</Paragraphs>
  <ScaleCrop>false</ScaleCrop>
  <Company>MicroSoft</Company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linshuhua</dc:creator>
  <cp:lastModifiedBy>马雪</cp:lastModifiedBy>
  <cp:revision>13</cp:revision>
  <cp:lastPrinted>2025-11-17T05:59:00Z</cp:lastPrinted>
  <dcterms:created xsi:type="dcterms:W3CDTF">2025-11-11T06:01:00Z</dcterms:created>
  <dcterms:modified xsi:type="dcterms:W3CDTF">2026-04-14T05:59:00Z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06EA6B434D6547099890BCF717AD64FA_13</vt:lpwstr>
  </property>
  <property fmtid="{D5CDD505-2E9C-101B-9397-08002B2CF9AE}" pid="4" name="KSOTemplateDocerSaveRecord">
    <vt:lpwstr>eyJoZGlkIjoiNDI2MGNhYWYzZGI2NTY2YThmNDBlNGQ3MTQ3OGU1MmMiLCJ1c2VySWQiOiI1NDI1MTg1NTEifQ==</vt:lpwstr>
  </property>
</Properties>
</file>